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AEA2A" w14:textId="13D0327B" w:rsidR="00B92633" w:rsidRDefault="00837F84">
      <w:pPr>
        <w:spacing w:after="0" w:line="259" w:lineRule="auto"/>
        <w:ind w:left="1386" w:right="0" w:firstLine="0"/>
        <w:jc w:val="left"/>
      </w:pPr>
      <w:r>
        <w:rPr>
          <w:noProof/>
        </w:rPr>
        <w:drawing>
          <wp:inline distT="0" distB="0" distL="0" distR="0" wp14:anchorId="0C813EAB" wp14:editId="554DCD4F">
            <wp:extent cx="3638550" cy="69532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4"/>
                    <a:stretch>
                      <a:fillRect/>
                    </a:stretch>
                  </pic:blipFill>
                  <pic:spPr>
                    <a:xfrm>
                      <a:off x="0" y="0"/>
                      <a:ext cx="3638550" cy="695325"/>
                    </a:xfrm>
                    <a:prstGeom prst="rect">
                      <a:avLst/>
                    </a:prstGeom>
                  </pic:spPr>
                </pic:pic>
              </a:graphicData>
            </a:graphic>
          </wp:inline>
        </w:drawing>
      </w:r>
      <w:r>
        <w:rPr>
          <w:rFonts w:ascii="Calibri" w:eastAsia="Calibri" w:hAnsi="Calibri" w:cs="Calibri"/>
        </w:rPr>
        <w:t xml:space="preserve"> </w:t>
      </w:r>
    </w:p>
    <w:p w14:paraId="09062A19" w14:textId="77777777" w:rsidR="00B92633" w:rsidRDefault="00837F84">
      <w:pPr>
        <w:spacing w:after="0" w:line="259" w:lineRule="auto"/>
        <w:ind w:left="44" w:right="0" w:firstLine="0"/>
        <w:jc w:val="center"/>
      </w:pPr>
      <w:r>
        <w:rPr>
          <w:rFonts w:ascii="Calibri" w:eastAsia="Calibri" w:hAnsi="Calibri" w:cs="Calibri"/>
        </w:rPr>
        <w:t xml:space="preserve"> </w:t>
      </w:r>
    </w:p>
    <w:p w14:paraId="4C89B695" w14:textId="77777777" w:rsidR="00B92633" w:rsidRDefault="00837F84">
      <w:pPr>
        <w:spacing w:after="0" w:line="259" w:lineRule="auto"/>
        <w:ind w:left="0" w:right="0" w:firstLine="0"/>
        <w:jc w:val="left"/>
      </w:pPr>
      <w:r>
        <w:rPr>
          <w:b/>
          <w:color w:val="242424"/>
          <w:sz w:val="20"/>
        </w:rPr>
        <w:t xml:space="preserve"> </w:t>
      </w:r>
    </w:p>
    <w:p w14:paraId="5A2E4021" w14:textId="77777777" w:rsidR="00B92633" w:rsidRDefault="00837F84">
      <w:pPr>
        <w:spacing w:after="0" w:line="259" w:lineRule="auto"/>
        <w:ind w:left="0" w:right="0" w:firstLine="0"/>
        <w:jc w:val="left"/>
      </w:pPr>
      <w:r>
        <w:rPr>
          <w:b/>
          <w:color w:val="242424"/>
          <w:sz w:val="20"/>
        </w:rPr>
        <w:t xml:space="preserve"> </w:t>
      </w:r>
    </w:p>
    <w:p w14:paraId="3B5F0F33" w14:textId="77777777" w:rsidR="00B92633" w:rsidRDefault="00837F84">
      <w:pPr>
        <w:spacing w:after="0" w:line="259" w:lineRule="auto"/>
        <w:ind w:left="0" w:right="0" w:firstLine="0"/>
        <w:jc w:val="left"/>
      </w:pPr>
      <w:r>
        <w:rPr>
          <w:b/>
          <w:color w:val="242424"/>
        </w:rPr>
        <w:t xml:space="preserve"> </w:t>
      </w:r>
    </w:p>
    <w:p w14:paraId="48D6EFDE" w14:textId="77777777" w:rsidR="00B92633" w:rsidRDefault="00837F84">
      <w:pPr>
        <w:spacing w:after="0" w:line="259" w:lineRule="auto"/>
        <w:ind w:left="0" w:right="0" w:firstLine="0"/>
        <w:jc w:val="left"/>
      </w:pPr>
      <w:r>
        <w:rPr>
          <w:b/>
          <w:color w:val="242424"/>
          <w:lang w:val="en"/>
        </w:rPr>
        <w:t xml:space="preserve">BME - GROWTH </w:t>
      </w:r>
    </w:p>
    <w:p w14:paraId="78BCF767" w14:textId="77777777" w:rsidR="00B92633" w:rsidRDefault="00837F84">
      <w:pPr>
        <w:spacing w:after="0" w:line="259" w:lineRule="auto"/>
        <w:ind w:left="-5" w:right="0"/>
        <w:jc w:val="left"/>
      </w:pPr>
      <w:r>
        <w:rPr>
          <w:color w:val="242424"/>
          <w:lang w:val="en"/>
        </w:rPr>
        <w:t xml:space="preserve">Stock Exchange Palace  </w:t>
      </w:r>
    </w:p>
    <w:p w14:paraId="046C2FDF" w14:textId="77777777" w:rsidR="00B92633" w:rsidRDefault="00837F84">
      <w:pPr>
        <w:spacing w:after="0" w:line="259" w:lineRule="auto"/>
        <w:ind w:left="-5" w:right="0"/>
        <w:jc w:val="left"/>
      </w:pPr>
      <w:r>
        <w:rPr>
          <w:color w:val="242424"/>
          <w:lang w:val="en"/>
        </w:rPr>
        <w:t xml:space="preserve">Loyalty Square, 1  </w:t>
      </w:r>
    </w:p>
    <w:p w14:paraId="45751E75" w14:textId="77777777" w:rsidR="00B92633" w:rsidRDefault="00837F84">
      <w:pPr>
        <w:spacing w:after="0" w:line="259" w:lineRule="auto"/>
        <w:ind w:left="-5" w:right="0"/>
        <w:jc w:val="left"/>
      </w:pPr>
      <w:r>
        <w:rPr>
          <w:color w:val="242424"/>
          <w:lang w:val="en"/>
        </w:rPr>
        <w:t xml:space="preserve">28014 Madrid  </w:t>
      </w:r>
    </w:p>
    <w:p w14:paraId="391E3AEE" w14:textId="77777777" w:rsidR="00B92633" w:rsidRDefault="00837F84">
      <w:pPr>
        <w:spacing w:after="0" w:line="259" w:lineRule="auto"/>
        <w:ind w:left="2871" w:right="0" w:firstLine="0"/>
        <w:jc w:val="center"/>
      </w:pPr>
      <w:r>
        <w:t xml:space="preserve"> </w:t>
      </w:r>
    </w:p>
    <w:p w14:paraId="57C7A0CA" w14:textId="77777777" w:rsidR="00B92633" w:rsidRDefault="00837F84">
      <w:pPr>
        <w:spacing w:after="0" w:line="259" w:lineRule="auto"/>
        <w:ind w:left="0" w:firstLine="0"/>
        <w:jc w:val="right"/>
      </w:pPr>
      <w:r>
        <w:rPr>
          <w:lang w:val="en"/>
        </w:rPr>
        <w:t xml:space="preserve">Madrid, 02 June 2023  </w:t>
      </w:r>
    </w:p>
    <w:p w14:paraId="2070478B" w14:textId="77777777" w:rsidR="00B92633" w:rsidRDefault="00837F84">
      <w:pPr>
        <w:spacing w:after="4" w:line="275" w:lineRule="auto"/>
        <w:ind w:left="7083" w:right="1363" w:firstLine="0"/>
        <w:jc w:val="center"/>
      </w:pPr>
      <w:r>
        <w:t xml:space="preserve"> </w:t>
      </w:r>
      <w:r>
        <w:rPr>
          <w:rFonts w:ascii="Arial" w:eastAsia="Arial" w:hAnsi="Arial" w:cs="Arial"/>
        </w:rPr>
        <w:t xml:space="preserve"> </w:t>
      </w:r>
    </w:p>
    <w:p w14:paraId="0E755107" w14:textId="77777777" w:rsidR="00B92633" w:rsidRDefault="00837F84">
      <w:pPr>
        <w:spacing w:after="0" w:line="250" w:lineRule="auto"/>
        <w:ind w:left="3392" w:right="0" w:hanging="2778"/>
        <w:jc w:val="left"/>
      </w:pPr>
      <w:r>
        <w:rPr>
          <w:b/>
          <w:lang w:val="en"/>
        </w:rPr>
        <w:t xml:space="preserve">COMMUNICATION- OTHER RELEVANT INFORMATION - SUBSTRATE ARTIFICIAL INTELIGENCE, S.A. </w:t>
      </w:r>
    </w:p>
    <w:p w14:paraId="45B22F7E" w14:textId="77777777" w:rsidR="00B92633" w:rsidRDefault="00837F84">
      <w:pPr>
        <w:spacing w:after="23" w:line="259" w:lineRule="auto"/>
        <w:ind w:left="0" w:right="0" w:firstLine="0"/>
        <w:jc w:val="left"/>
      </w:pPr>
      <w:r>
        <w:rPr>
          <w:rFonts w:ascii="Arial" w:eastAsia="Arial" w:hAnsi="Arial" w:cs="Arial"/>
        </w:rPr>
        <w:t xml:space="preserve"> </w:t>
      </w:r>
    </w:p>
    <w:p w14:paraId="5FD4C638" w14:textId="77777777" w:rsidR="00B92633" w:rsidRDefault="00837F84">
      <w:pPr>
        <w:ind w:left="-5" w:right="0"/>
      </w:pPr>
      <w:r>
        <w:rPr>
          <w:lang w:val="en"/>
        </w:rPr>
        <w:t xml:space="preserve">Pursuant to the provisions of Article 17 of Regulation (EU) No 596/2014 on market abuse and Article 227 of Law 6/2023, of 17 March, on Securities Markets and Investment Services, and concordant provisions, as well as BME Growth Circular 3/2020  of BME MTF Equity,  We inform you of the following information relating to the company </w:t>
      </w:r>
      <w:r>
        <w:rPr>
          <w:b/>
          <w:lang w:val="en"/>
        </w:rPr>
        <w:t>SUBSTRATE ARTIFICIAL INTELIGENCE, S.A. (hereinafter ("Substrate AI" or "the Company" indistinctly).</w:t>
      </w:r>
    </w:p>
    <w:p w14:paraId="00C53D32" w14:textId="77777777" w:rsidR="00B92633" w:rsidRDefault="00837F84">
      <w:pPr>
        <w:spacing w:after="3" w:line="277" w:lineRule="auto"/>
        <w:ind w:left="0" w:right="4195" w:firstLine="0"/>
        <w:jc w:val="left"/>
      </w:pPr>
      <w:r>
        <w:t xml:space="preserve"> </w:t>
      </w:r>
      <w:r>
        <w:rPr>
          <w:rFonts w:ascii="Arial" w:eastAsia="Arial" w:hAnsi="Arial" w:cs="Arial"/>
        </w:rPr>
        <w:t xml:space="preserve"> </w:t>
      </w:r>
    </w:p>
    <w:p w14:paraId="29C95B64" w14:textId="77777777" w:rsidR="00B92633" w:rsidRDefault="00837F84">
      <w:pPr>
        <w:spacing w:after="0" w:line="259" w:lineRule="auto"/>
        <w:ind w:left="0" w:right="2" w:firstLine="0"/>
        <w:jc w:val="center"/>
      </w:pPr>
      <w:r>
        <w:rPr>
          <w:b/>
          <w:lang w:val="en"/>
        </w:rPr>
        <w:t xml:space="preserve">OTHER RELEVANT INFORMATION </w:t>
      </w:r>
    </w:p>
    <w:p w14:paraId="2CC3D5F6" w14:textId="77777777" w:rsidR="00B92633" w:rsidRDefault="00837F84">
      <w:pPr>
        <w:spacing w:after="0" w:line="275" w:lineRule="auto"/>
        <w:ind w:left="0" w:right="8446" w:firstLine="0"/>
        <w:jc w:val="left"/>
      </w:pPr>
      <w:r>
        <w:rPr>
          <w:b/>
        </w:rPr>
        <w:t xml:space="preserve"> </w:t>
      </w:r>
      <w:r>
        <w:rPr>
          <w:rFonts w:ascii="Arial" w:eastAsia="Arial" w:hAnsi="Arial" w:cs="Arial"/>
        </w:rPr>
        <w:t xml:space="preserve"> </w:t>
      </w:r>
    </w:p>
    <w:p w14:paraId="6FF3FA0C" w14:textId="77777777" w:rsidR="00B92633" w:rsidRDefault="00837F84">
      <w:pPr>
        <w:spacing w:after="255" w:line="247" w:lineRule="auto"/>
        <w:ind w:left="0" w:right="9" w:firstLine="0"/>
      </w:pPr>
      <w:r>
        <w:rPr>
          <w:sz w:val="20"/>
          <w:lang w:val="en"/>
        </w:rPr>
        <w:t xml:space="preserve">The Company published as Other Relevant Information ("OIR") on May 18, the resolutions adopted by the Extraordinary General Shareholders' Meeting held on May 17, among which was the delegation to the Board of Directors of the </w:t>
      </w:r>
      <w:r>
        <w:rPr>
          <w:lang w:val="en"/>
        </w:rPr>
        <w:t>power to issue bonds convertible into shares of the Company itself for a maximum nominal amount of 17,200,000 euros,  as well</w:t>
      </w:r>
      <w:r>
        <w:rPr>
          <w:sz w:val="20"/>
          <w:lang w:val="en"/>
        </w:rPr>
        <w:t xml:space="preserve"> as to increase the share capital in the amount necessary to meet the conversion of said Bonds.  </w:t>
      </w:r>
    </w:p>
    <w:p w14:paraId="7DCC7EFA" w14:textId="77777777" w:rsidR="00B92633" w:rsidRDefault="00837F84">
      <w:pPr>
        <w:ind w:left="-5" w:right="0"/>
      </w:pPr>
      <w:r>
        <w:rPr>
          <w:lang w:val="en"/>
        </w:rPr>
        <w:t xml:space="preserve">Likewise, at its meeting held on May 22, 2023, the Board of Directors adopted the agreement, under the delegation of the Meeting, to carry out a seventh issue of 50 Bonds convertible into shares of the Company for a joint nominal conversion amount of 500,000 euros, the "Convertible Bonds (MAY 2023)", as well as the issuance of 256,410 convertible warrants "WARRANTS T7" being Global Corporate Finance Opportunities  the sole recipient of those broadcasts.  </w:t>
      </w:r>
    </w:p>
    <w:p w14:paraId="29303289" w14:textId="77777777" w:rsidR="00B92633" w:rsidRDefault="00837F84">
      <w:pPr>
        <w:spacing w:after="0" w:line="259" w:lineRule="auto"/>
        <w:ind w:left="0" w:right="0" w:firstLine="0"/>
        <w:jc w:val="left"/>
      </w:pPr>
      <w:r>
        <w:t xml:space="preserve"> </w:t>
      </w:r>
    </w:p>
    <w:p w14:paraId="390F7308" w14:textId="77777777" w:rsidR="00B92633" w:rsidRDefault="00837F84">
      <w:pPr>
        <w:ind w:left="-5" w:right="0"/>
      </w:pPr>
      <w:r>
        <w:rPr>
          <w:lang w:val="en"/>
        </w:rPr>
        <w:t xml:space="preserve">The terms and conditions of conversion of such Bonds and Warrants were set out in the IROs dated June 16, 2022 and June 30, 2022.  </w:t>
      </w:r>
    </w:p>
    <w:p w14:paraId="20BCDBC4" w14:textId="77777777" w:rsidR="00B92633" w:rsidRDefault="00837F84">
      <w:pPr>
        <w:spacing w:after="0" w:line="259" w:lineRule="auto"/>
        <w:ind w:left="0" w:right="1341" w:firstLine="0"/>
        <w:jc w:val="right"/>
      </w:pPr>
      <w:r>
        <w:rPr>
          <w:noProof/>
        </w:rPr>
        <w:lastRenderedPageBreak/>
        <w:drawing>
          <wp:inline distT="0" distB="0" distL="0" distR="0" wp14:anchorId="24CA2977" wp14:editId="7AA584EE">
            <wp:extent cx="3638550" cy="695325"/>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4"/>
                    <a:stretch>
                      <a:fillRect/>
                    </a:stretch>
                  </pic:blipFill>
                  <pic:spPr>
                    <a:xfrm>
                      <a:off x="0" y="0"/>
                      <a:ext cx="3638550" cy="695325"/>
                    </a:xfrm>
                    <a:prstGeom prst="rect">
                      <a:avLst/>
                    </a:prstGeom>
                  </pic:spPr>
                </pic:pic>
              </a:graphicData>
            </a:graphic>
          </wp:inline>
        </w:drawing>
      </w:r>
      <w:r>
        <w:rPr>
          <w:rFonts w:ascii="Calibri" w:eastAsia="Calibri" w:hAnsi="Calibri" w:cs="Calibri"/>
        </w:rPr>
        <w:t xml:space="preserve"> </w:t>
      </w:r>
    </w:p>
    <w:p w14:paraId="0847AA39" w14:textId="77777777" w:rsidR="00B92633" w:rsidRDefault="00837F84">
      <w:pPr>
        <w:spacing w:after="0" w:line="259" w:lineRule="auto"/>
        <w:ind w:left="44" w:right="0" w:firstLine="0"/>
        <w:jc w:val="center"/>
      </w:pPr>
      <w:r>
        <w:rPr>
          <w:rFonts w:ascii="Calibri" w:eastAsia="Calibri" w:hAnsi="Calibri" w:cs="Calibri"/>
        </w:rPr>
        <w:t xml:space="preserve"> </w:t>
      </w:r>
    </w:p>
    <w:p w14:paraId="405A1324" w14:textId="77777777" w:rsidR="00B92633" w:rsidRDefault="00837F84">
      <w:pPr>
        <w:spacing w:after="23" w:line="259" w:lineRule="auto"/>
        <w:ind w:left="0" w:right="0" w:firstLine="0"/>
        <w:jc w:val="left"/>
      </w:pPr>
      <w:r>
        <w:rPr>
          <w:rFonts w:ascii="Arial" w:eastAsia="Arial" w:hAnsi="Arial" w:cs="Arial"/>
        </w:rPr>
        <w:t xml:space="preserve"> </w:t>
      </w:r>
    </w:p>
    <w:p w14:paraId="5A9D1C06" w14:textId="77777777" w:rsidR="00B92633" w:rsidRDefault="00837F84">
      <w:pPr>
        <w:ind w:left="-5" w:right="0"/>
      </w:pPr>
      <w:r>
        <w:rPr>
          <w:lang w:val="en"/>
        </w:rPr>
        <w:t xml:space="preserve">In compliance with the provisions of Circular 3/2020 of the BME Growth segment of  BME MTF Equity, it is expressly stated that the information communicated herein has been prepared under the sole responsibility of the Company and its administrators.  </w:t>
      </w:r>
    </w:p>
    <w:p w14:paraId="58490B1D" w14:textId="77777777" w:rsidR="00B92633" w:rsidRDefault="00837F84">
      <w:pPr>
        <w:spacing w:after="21" w:line="259" w:lineRule="auto"/>
        <w:ind w:left="0" w:right="0" w:firstLine="0"/>
        <w:jc w:val="left"/>
      </w:pPr>
      <w:r>
        <w:rPr>
          <w:rFonts w:ascii="Arial" w:eastAsia="Arial" w:hAnsi="Arial" w:cs="Arial"/>
        </w:rPr>
        <w:t xml:space="preserve"> </w:t>
      </w:r>
    </w:p>
    <w:p w14:paraId="053C37D2" w14:textId="77777777" w:rsidR="00B92633" w:rsidRDefault="00837F84">
      <w:pPr>
        <w:ind w:left="-5" w:right="0"/>
      </w:pPr>
      <w:r>
        <w:rPr>
          <w:lang w:val="en"/>
        </w:rPr>
        <w:t xml:space="preserve">We remain at your disposal for as many clarifications as you consider appropriate.  </w:t>
      </w:r>
    </w:p>
    <w:p w14:paraId="7236366C" w14:textId="77777777" w:rsidR="00B92633" w:rsidRDefault="00837F84">
      <w:pPr>
        <w:spacing w:after="0" w:line="259" w:lineRule="auto"/>
        <w:ind w:left="0" w:right="0" w:firstLine="0"/>
        <w:jc w:val="left"/>
      </w:pPr>
      <w:r>
        <w:t xml:space="preserve"> </w:t>
      </w:r>
    </w:p>
    <w:p w14:paraId="24D2C3D9" w14:textId="77777777" w:rsidR="00B92633" w:rsidRDefault="00837F84">
      <w:pPr>
        <w:ind w:left="-5" w:right="0"/>
      </w:pPr>
      <w:r>
        <w:rPr>
          <w:lang w:val="en"/>
        </w:rPr>
        <w:t xml:space="preserve">Kind regards  </w:t>
      </w:r>
    </w:p>
    <w:p w14:paraId="44B023FD" w14:textId="77777777" w:rsidR="00B92633" w:rsidRDefault="00837F84">
      <w:pPr>
        <w:spacing w:after="0" w:line="259" w:lineRule="auto"/>
        <w:ind w:left="0" w:right="0" w:firstLine="0"/>
        <w:jc w:val="left"/>
      </w:pPr>
      <w:r>
        <w:t xml:space="preserve"> </w:t>
      </w:r>
    </w:p>
    <w:p w14:paraId="346177AE" w14:textId="77777777" w:rsidR="00B92633" w:rsidRDefault="00837F84">
      <w:pPr>
        <w:spacing w:after="0" w:line="259" w:lineRule="auto"/>
        <w:ind w:left="0" w:right="0" w:firstLine="0"/>
        <w:jc w:val="left"/>
      </w:pPr>
      <w:r>
        <w:t xml:space="preserve"> </w:t>
      </w:r>
    </w:p>
    <w:p w14:paraId="1A390EBA" w14:textId="77777777" w:rsidR="00B92633" w:rsidRDefault="00837F84">
      <w:pPr>
        <w:spacing w:after="0" w:line="259" w:lineRule="auto"/>
        <w:ind w:left="0" w:right="0" w:firstLine="0"/>
        <w:jc w:val="left"/>
      </w:pPr>
      <w:r>
        <w:t xml:space="preserve"> </w:t>
      </w:r>
    </w:p>
    <w:p w14:paraId="19F6B81C" w14:textId="77777777" w:rsidR="00B92633" w:rsidRDefault="00837F84">
      <w:pPr>
        <w:spacing w:after="0" w:line="259" w:lineRule="auto"/>
        <w:ind w:left="0" w:right="0" w:firstLine="0"/>
        <w:jc w:val="left"/>
      </w:pPr>
      <w:r>
        <w:t xml:space="preserve"> </w:t>
      </w:r>
    </w:p>
    <w:p w14:paraId="2901C90A" w14:textId="77777777" w:rsidR="00B92633" w:rsidRDefault="00837F84">
      <w:pPr>
        <w:ind w:left="-5" w:right="0"/>
      </w:pPr>
      <w:r>
        <w:rPr>
          <w:lang w:val="en"/>
        </w:rPr>
        <w:t xml:space="preserve">_________________  </w:t>
      </w:r>
    </w:p>
    <w:p w14:paraId="448A4752" w14:textId="77777777" w:rsidR="00B92633" w:rsidRDefault="00837F84">
      <w:pPr>
        <w:ind w:left="-5" w:right="0"/>
      </w:pPr>
      <w:r>
        <w:rPr>
          <w:lang w:val="en"/>
        </w:rPr>
        <w:t xml:space="preserve">Lorenzo </w:t>
      </w:r>
      <w:proofErr w:type="spellStart"/>
      <w:r>
        <w:rPr>
          <w:lang w:val="en"/>
        </w:rPr>
        <w:t>Serratosa</w:t>
      </w:r>
      <w:proofErr w:type="spellEnd"/>
      <w:r>
        <w:rPr>
          <w:lang w:val="en"/>
        </w:rPr>
        <w:t xml:space="preserve"> Gallardo  </w:t>
      </w:r>
    </w:p>
    <w:p w14:paraId="07DEE198" w14:textId="63C0B66F" w:rsidR="00B92633" w:rsidRDefault="00837F84">
      <w:pPr>
        <w:spacing w:after="0" w:line="250" w:lineRule="auto"/>
        <w:ind w:left="-15" w:right="0" w:firstLine="0"/>
        <w:jc w:val="left"/>
      </w:pPr>
      <w:r>
        <w:rPr>
          <w:b/>
          <w:lang w:val="en"/>
        </w:rPr>
        <w:t xml:space="preserve">Chairman </w:t>
      </w:r>
    </w:p>
    <w:sectPr w:rsidR="00B92633">
      <w:pgSz w:w="11906" w:h="16838"/>
      <w:pgMar w:top="708" w:right="1697" w:bottom="161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33"/>
    <w:rsid w:val="00837F84"/>
    <w:rsid w:val="00A75D63"/>
    <w:rsid w:val="00B92633"/>
    <w:rsid w:val="00D834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0058B18"/>
  <w15:docId w15:val="{BA0F5028-2C93-9146-ADAC-E60D3F70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 w:hanging="10"/>
      <w:jc w:val="both"/>
    </w:pPr>
    <w:rPr>
      <w:rFonts w:ascii="Titillium Web" w:eastAsia="Titillium Web" w:hAnsi="Titillium Web" w:cs="Titillium Web"/>
      <w:color w:val="000000"/>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5D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1809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GOMEZ PASCUAL</dc:creator>
  <cp:keywords/>
  <dc:description/>
  <cp:lastModifiedBy>damiaserratosa@gmail.com</cp:lastModifiedBy>
  <cp:revision>1</cp:revision>
  <dcterms:created xsi:type="dcterms:W3CDTF">2023-06-02T08:26:00Z</dcterms:created>
  <dcterms:modified xsi:type="dcterms:W3CDTF">2023-06-02T08:27:00Z</dcterms:modified>
  <cp:category/>
</cp:coreProperties>
</file>