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A73A25" w14:textId="77777777" w:rsidR="0087728F" w:rsidRDefault="00FB57D2">
      <w:pPr>
        <w:spacing w:after="0" w:line="259" w:lineRule="auto"/>
        <w:ind w:left="1386" w:right="0" w:firstLine="0"/>
        <w:jc w:val="left"/>
      </w:pPr>
      <w:r>
        <w:rPr>
          <w:noProof/>
        </w:rPr>
        <w:drawing>
          <wp:inline distT="0" distB="0" distL="0" distR="0" wp14:anchorId="28F28D0F" wp14:editId="2D294270">
            <wp:extent cx="3638550" cy="815340"/>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4"/>
                    <a:stretch>
                      <a:fillRect/>
                    </a:stretch>
                  </pic:blipFill>
                  <pic:spPr>
                    <a:xfrm>
                      <a:off x="0" y="0"/>
                      <a:ext cx="3638550" cy="815340"/>
                    </a:xfrm>
                    <a:prstGeom prst="rect">
                      <a:avLst/>
                    </a:prstGeom>
                  </pic:spPr>
                </pic:pic>
              </a:graphicData>
            </a:graphic>
          </wp:inline>
        </w:drawing>
      </w:r>
      <w:r>
        <w:t xml:space="preserve"> </w:t>
      </w:r>
    </w:p>
    <w:p w14:paraId="1C6E5B7C" w14:textId="77777777" w:rsidR="0087728F" w:rsidRDefault="00FB57D2">
      <w:pPr>
        <w:spacing w:after="0" w:line="259" w:lineRule="auto"/>
        <w:ind w:left="45" w:right="0" w:firstLine="0"/>
        <w:jc w:val="center"/>
      </w:pPr>
      <w:r>
        <w:t xml:space="preserve"> </w:t>
      </w:r>
    </w:p>
    <w:p w14:paraId="50B866CF" w14:textId="77777777" w:rsidR="0087728F" w:rsidRDefault="00FB57D2">
      <w:pPr>
        <w:spacing w:after="42" w:line="259" w:lineRule="auto"/>
        <w:ind w:left="0" w:right="0" w:firstLine="0"/>
        <w:jc w:val="left"/>
      </w:pPr>
      <w:r>
        <w:rPr>
          <w:b/>
          <w:color w:val="242424"/>
          <w:sz w:val="20"/>
        </w:rPr>
        <w:t xml:space="preserve"> </w:t>
      </w:r>
    </w:p>
    <w:p w14:paraId="4D4CE6F8" w14:textId="77777777" w:rsidR="0087728F" w:rsidRDefault="00FB57D2">
      <w:pPr>
        <w:spacing w:after="64" w:line="259" w:lineRule="auto"/>
        <w:ind w:left="0" w:right="0" w:firstLine="0"/>
        <w:jc w:val="left"/>
      </w:pPr>
      <w:r>
        <w:rPr>
          <w:b/>
          <w:color w:val="242424"/>
          <w:sz w:val="20"/>
        </w:rPr>
        <w:t xml:space="preserve"> </w:t>
      </w:r>
    </w:p>
    <w:p w14:paraId="1A4594C8" w14:textId="77777777" w:rsidR="0087728F" w:rsidRDefault="00FB57D2">
      <w:pPr>
        <w:spacing w:after="44" w:line="259" w:lineRule="auto"/>
        <w:ind w:left="0" w:right="0" w:firstLine="0"/>
        <w:jc w:val="left"/>
      </w:pPr>
      <w:r>
        <w:rPr>
          <w:b/>
          <w:color w:val="242424"/>
        </w:rPr>
        <w:t xml:space="preserve"> </w:t>
      </w:r>
    </w:p>
    <w:p w14:paraId="7A698A94" w14:textId="77777777" w:rsidR="0087728F" w:rsidRDefault="00FB57D2">
      <w:pPr>
        <w:spacing w:after="44" w:line="259" w:lineRule="auto"/>
        <w:ind w:left="0" w:right="0" w:firstLine="0"/>
        <w:jc w:val="left"/>
      </w:pPr>
      <w:r>
        <w:rPr>
          <w:b/>
          <w:color w:val="242424"/>
        </w:rPr>
        <w:t xml:space="preserve">BME - GROWTH </w:t>
      </w:r>
      <w:r>
        <w:rPr>
          <w:rFonts w:ascii="Arial" w:eastAsia="Arial" w:hAnsi="Arial" w:cs="Arial"/>
        </w:rPr>
        <w:t xml:space="preserve"> </w:t>
      </w:r>
    </w:p>
    <w:p w14:paraId="3DF64C5F" w14:textId="77777777" w:rsidR="0087728F" w:rsidRDefault="00FB57D2">
      <w:pPr>
        <w:spacing w:after="44" w:line="259" w:lineRule="auto"/>
        <w:ind w:left="-5" w:right="0"/>
        <w:jc w:val="left"/>
      </w:pPr>
      <w:r>
        <w:rPr>
          <w:color w:val="242424"/>
        </w:rPr>
        <w:t xml:space="preserve">Palacio de la Bolsa  </w:t>
      </w:r>
    </w:p>
    <w:p w14:paraId="2CDCB50D" w14:textId="77777777" w:rsidR="0087728F" w:rsidRDefault="00FB57D2">
      <w:pPr>
        <w:spacing w:after="44" w:line="259" w:lineRule="auto"/>
        <w:ind w:left="-5" w:right="0"/>
        <w:jc w:val="left"/>
      </w:pPr>
      <w:r>
        <w:rPr>
          <w:color w:val="242424"/>
        </w:rPr>
        <w:t xml:space="preserve">Plaza de la Lealtad, 1  </w:t>
      </w:r>
    </w:p>
    <w:p w14:paraId="2A1A73B7" w14:textId="77777777" w:rsidR="0087728F" w:rsidRDefault="00FB57D2">
      <w:pPr>
        <w:spacing w:after="44" w:line="259" w:lineRule="auto"/>
        <w:ind w:left="-5" w:right="0"/>
        <w:jc w:val="left"/>
      </w:pPr>
      <w:r>
        <w:rPr>
          <w:color w:val="242424"/>
        </w:rPr>
        <w:t xml:space="preserve">28014 Madrid  </w:t>
      </w:r>
    </w:p>
    <w:p w14:paraId="53D5EB9A" w14:textId="77777777" w:rsidR="0087728F" w:rsidRDefault="00FB57D2">
      <w:pPr>
        <w:spacing w:after="43" w:line="259" w:lineRule="auto"/>
        <w:ind w:left="2871" w:right="0" w:firstLine="0"/>
        <w:jc w:val="center"/>
      </w:pPr>
      <w:r>
        <w:t xml:space="preserve"> </w:t>
      </w:r>
    </w:p>
    <w:p w14:paraId="50BC4EA8" w14:textId="77777777" w:rsidR="0087728F" w:rsidRDefault="00FB57D2">
      <w:pPr>
        <w:spacing w:after="45" w:line="259" w:lineRule="auto"/>
        <w:ind w:left="0" w:firstLine="0"/>
        <w:jc w:val="right"/>
      </w:pPr>
      <w:r>
        <w:t xml:space="preserve">Madrid, 20 de junio de 2023  </w:t>
      </w:r>
    </w:p>
    <w:p w14:paraId="63226975" w14:textId="77777777" w:rsidR="0087728F" w:rsidRDefault="00FB57D2">
      <w:pPr>
        <w:spacing w:after="4" w:line="275" w:lineRule="auto"/>
        <w:ind w:left="7083" w:right="1363" w:firstLine="0"/>
        <w:jc w:val="center"/>
      </w:pPr>
      <w:r>
        <w:t xml:space="preserve"> </w:t>
      </w:r>
      <w:r>
        <w:rPr>
          <w:rFonts w:ascii="Arial" w:eastAsia="Arial" w:hAnsi="Arial" w:cs="Arial"/>
        </w:rPr>
        <w:t xml:space="preserve"> </w:t>
      </w:r>
    </w:p>
    <w:p w14:paraId="3A3492F5" w14:textId="77777777" w:rsidR="0087728F" w:rsidRDefault="00FB57D2">
      <w:pPr>
        <w:spacing w:after="37" w:line="259" w:lineRule="auto"/>
        <w:ind w:left="3392" w:right="0" w:hanging="2778"/>
        <w:jc w:val="left"/>
      </w:pPr>
      <w:r>
        <w:rPr>
          <w:b/>
        </w:rPr>
        <w:t xml:space="preserve">COMUNICACIÓN- OTRA INFORMACIÓN RELEVANTE - SUBSTRATE ARTIFICIAL INTELIGENCE, S.A. </w:t>
      </w:r>
    </w:p>
    <w:p w14:paraId="0DF69899" w14:textId="77777777" w:rsidR="0087728F" w:rsidRDefault="00FB57D2">
      <w:pPr>
        <w:spacing w:after="23" w:line="259" w:lineRule="auto"/>
        <w:ind w:left="0" w:right="0" w:firstLine="0"/>
        <w:jc w:val="left"/>
      </w:pPr>
      <w:r>
        <w:rPr>
          <w:rFonts w:ascii="Arial" w:eastAsia="Arial" w:hAnsi="Arial" w:cs="Arial"/>
        </w:rPr>
        <w:t xml:space="preserve"> </w:t>
      </w:r>
    </w:p>
    <w:p w14:paraId="4848E605" w14:textId="77777777" w:rsidR="0087728F" w:rsidRDefault="00FB57D2">
      <w:pPr>
        <w:ind w:left="-5" w:right="0"/>
      </w:pPr>
      <w:r>
        <w:t xml:space="preserve">En virtud de lo previsto en el artículo 17 del Reglamento (UE) </w:t>
      </w:r>
      <w:proofErr w:type="spellStart"/>
      <w:r>
        <w:t>nº</w:t>
      </w:r>
      <w:proofErr w:type="spellEnd"/>
      <w:r>
        <w:t xml:space="preserve"> 596/2014 sobre abuso de mercado y en el artículo 227 de la Ley 6/2023, de 17 de marzo, de los Mercados de Valores y de los Servicios de Inversión, y disposiciones concordantes, así como en l</w:t>
      </w:r>
      <w:r>
        <w:t xml:space="preserve">a Circular 3/2020 de BME </w:t>
      </w:r>
      <w:proofErr w:type="spellStart"/>
      <w:r>
        <w:t>Growth</w:t>
      </w:r>
      <w:proofErr w:type="spellEnd"/>
      <w:r>
        <w:t xml:space="preserve"> de BME MTF </w:t>
      </w:r>
      <w:proofErr w:type="spellStart"/>
      <w:r>
        <w:t>Equity</w:t>
      </w:r>
      <w:proofErr w:type="spellEnd"/>
      <w:r>
        <w:t xml:space="preserve">, ponemos en su conocimiento la siguiente información relativa a la sociedad </w:t>
      </w:r>
      <w:r>
        <w:rPr>
          <w:b/>
        </w:rPr>
        <w:t>SUBSTRATE ARTIFICIAL INTELIGENCE, S.A. (en adelante (“</w:t>
      </w:r>
      <w:proofErr w:type="spellStart"/>
      <w:r>
        <w:rPr>
          <w:b/>
        </w:rPr>
        <w:t>Substrate</w:t>
      </w:r>
      <w:proofErr w:type="spellEnd"/>
      <w:r>
        <w:rPr>
          <w:b/>
        </w:rPr>
        <w:t xml:space="preserve"> AI” o “la Sociedad” indistintamente).</w:t>
      </w:r>
      <w:r>
        <w:t xml:space="preserve"> </w:t>
      </w:r>
    </w:p>
    <w:p w14:paraId="2FAD2FC0" w14:textId="77777777" w:rsidR="0087728F" w:rsidRDefault="00FB57D2">
      <w:pPr>
        <w:spacing w:after="3" w:line="277" w:lineRule="auto"/>
        <w:ind w:left="0" w:right="4195" w:firstLine="0"/>
        <w:jc w:val="left"/>
      </w:pPr>
      <w:r>
        <w:t xml:space="preserve"> </w:t>
      </w:r>
      <w:r>
        <w:rPr>
          <w:rFonts w:ascii="Arial" w:eastAsia="Arial" w:hAnsi="Arial" w:cs="Arial"/>
        </w:rPr>
        <w:t xml:space="preserve"> </w:t>
      </w:r>
    </w:p>
    <w:p w14:paraId="220D9BBD" w14:textId="77777777" w:rsidR="0087728F" w:rsidRDefault="00FB57D2">
      <w:pPr>
        <w:spacing w:after="45" w:line="259" w:lineRule="auto"/>
        <w:ind w:left="0" w:right="1" w:firstLine="0"/>
        <w:jc w:val="center"/>
      </w:pPr>
      <w:r>
        <w:rPr>
          <w:b/>
        </w:rPr>
        <w:t>OTRA INFORMACIÓN RELEVAN</w:t>
      </w:r>
      <w:r>
        <w:rPr>
          <w:b/>
        </w:rPr>
        <w:t xml:space="preserve">TE </w:t>
      </w:r>
    </w:p>
    <w:p w14:paraId="7F1C63F8" w14:textId="77777777" w:rsidR="0087728F" w:rsidRDefault="00FB57D2">
      <w:pPr>
        <w:spacing w:line="275" w:lineRule="auto"/>
        <w:ind w:left="0" w:right="8446" w:firstLine="0"/>
        <w:jc w:val="left"/>
      </w:pPr>
      <w:r>
        <w:rPr>
          <w:b/>
        </w:rPr>
        <w:t xml:space="preserve"> </w:t>
      </w:r>
      <w:r>
        <w:rPr>
          <w:rFonts w:ascii="Arial" w:eastAsia="Arial" w:hAnsi="Arial" w:cs="Arial"/>
        </w:rPr>
        <w:t xml:space="preserve"> </w:t>
      </w:r>
    </w:p>
    <w:p w14:paraId="7F3417C7" w14:textId="77777777" w:rsidR="0087728F" w:rsidRDefault="00FB57D2">
      <w:pPr>
        <w:spacing w:after="242"/>
        <w:ind w:left="-5" w:right="0"/>
      </w:pPr>
      <w:r>
        <w:t xml:space="preserve">La Sociedad publicó como Otra Información Relevante (“OIR”) el </w:t>
      </w:r>
      <w:r>
        <w:t>18 de mayo, los acuerdos adoptados por la Junta General Extraordinaria de Accionistas celebrada el 17 de mayo de 2023, entre los que se encontraba, la delegación en el Consejo de Adminis</w:t>
      </w:r>
      <w:r>
        <w:t xml:space="preserve">tración de la facultad de emitir obligaciones convertibles en acciones de la propia Sociedad por un importe nominal máximo de 17.200.000 euros, así como de aumentar el capital social en la cuantía necesaria para atender la conversión de dichos Bonos.  </w:t>
      </w:r>
    </w:p>
    <w:p w14:paraId="0C8122B6" w14:textId="77777777" w:rsidR="0087728F" w:rsidRDefault="00FB57D2">
      <w:pPr>
        <w:ind w:left="-5" w:right="0"/>
      </w:pPr>
      <w:r>
        <w:t>Asimismo, en su reunión celebrada el 29 de mayo de 2023, el Consejo de Administración adoptó el acuerdo, al amparo de la delegación de la Junta, de realizar una octava emisión de 50 Bonos convertibles en acciones de la Sociedad por un importe nominal conju</w:t>
      </w:r>
      <w:r>
        <w:t>nto de conversión de 5</w:t>
      </w:r>
      <w:r>
        <w:t>00.000 euros, los “Convertibles Obligaciones (</w:t>
      </w:r>
      <w:r>
        <w:t>JUNIO 2023</w:t>
      </w:r>
      <w:r>
        <w:t xml:space="preserve">)”, así como la </w:t>
      </w:r>
      <w:r>
        <w:t>emisión de 285.714</w:t>
      </w:r>
      <w:r>
        <w:rPr>
          <w:rFonts w:ascii="Century Gothic" w:eastAsia="Century Gothic" w:hAnsi="Century Gothic" w:cs="Century Gothic"/>
          <w:sz w:val="20"/>
        </w:rPr>
        <w:t xml:space="preserve"> </w:t>
      </w:r>
      <w:r>
        <w:t>warrants convertibles “WARRANTS T</w:t>
      </w:r>
      <w:r>
        <w:t>8</w:t>
      </w:r>
      <w:r>
        <w:t xml:space="preserve">” siendo Global </w:t>
      </w:r>
      <w:proofErr w:type="spellStart"/>
      <w:r>
        <w:t>Corporate</w:t>
      </w:r>
      <w:proofErr w:type="spellEnd"/>
      <w:r>
        <w:t xml:space="preserve"> </w:t>
      </w:r>
      <w:proofErr w:type="spellStart"/>
      <w:r>
        <w:t>Finance</w:t>
      </w:r>
      <w:proofErr w:type="spellEnd"/>
      <w:r>
        <w:t xml:space="preserve"> </w:t>
      </w:r>
      <w:proofErr w:type="spellStart"/>
      <w:r>
        <w:t>Opportunities</w:t>
      </w:r>
      <w:proofErr w:type="spellEnd"/>
      <w:r>
        <w:t xml:space="preserve"> la única destinataria de dichas emisiones.  </w:t>
      </w:r>
    </w:p>
    <w:p w14:paraId="511D4581" w14:textId="77777777" w:rsidR="0087728F" w:rsidRDefault="00FB57D2">
      <w:pPr>
        <w:spacing w:after="45" w:line="259" w:lineRule="auto"/>
        <w:ind w:left="0" w:right="0" w:firstLine="0"/>
        <w:jc w:val="left"/>
      </w:pPr>
      <w:r>
        <w:t xml:space="preserve"> </w:t>
      </w:r>
    </w:p>
    <w:p w14:paraId="6B005834" w14:textId="77777777" w:rsidR="0087728F" w:rsidRDefault="00FB57D2">
      <w:pPr>
        <w:ind w:left="-5" w:right="0"/>
      </w:pPr>
      <w:r>
        <w:t>Los plazos y c</w:t>
      </w:r>
      <w:r>
        <w:t xml:space="preserve">ondiciones de conversión de dichos Bonos y Warrants se recogieron en los OIR de fecha 16 de junio de 2022 y 30 de junio de 2022.  </w:t>
      </w:r>
    </w:p>
    <w:p w14:paraId="0744A3C7" w14:textId="77777777" w:rsidR="0087728F" w:rsidRDefault="00FB57D2">
      <w:pPr>
        <w:spacing w:after="0" w:line="259" w:lineRule="auto"/>
        <w:ind w:left="0" w:right="1340" w:firstLine="0"/>
        <w:jc w:val="right"/>
      </w:pPr>
      <w:r>
        <w:rPr>
          <w:noProof/>
        </w:rPr>
        <w:lastRenderedPageBreak/>
        <w:drawing>
          <wp:inline distT="0" distB="0" distL="0" distR="0" wp14:anchorId="1777E235" wp14:editId="6D2DBE47">
            <wp:extent cx="3638550" cy="695325"/>
            <wp:effectExtent l="0" t="0" r="0" b="0"/>
            <wp:docPr id="132" name="Picture 132"/>
            <wp:cNvGraphicFramePr/>
            <a:graphic xmlns:a="http://schemas.openxmlformats.org/drawingml/2006/main">
              <a:graphicData uri="http://schemas.openxmlformats.org/drawingml/2006/picture">
                <pic:pic xmlns:pic="http://schemas.openxmlformats.org/drawingml/2006/picture">
                  <pic:nvPicPr>
                    <pic:cNvPr id="132" name="Picture 132"/>
                    <pic:cNvPicPr/>
                  </pic:nvPicPr>
                  <pic:blipFill>
                    <a:blip r:embed="rId4"/>
                    <a:stretch>
                      <a:fillRect/>
                    </a:stretch>
                  </pic:blipFill>
                  <pic:spPr>
                    <a:xfrm>
                      <a:off x="0" y="0"/>
                      <a:ext cx="3638550" cy="695325"/>
                    </a:xfrm>
                    <a:prstGeom prst="rect">
                      <a:avLst/>
                    </a:prstGeom>
                  </pic:spPr>
                </pic:pic>
              </a:graphicData>
            </a:graphic>
          </wp:inline>
        </w:drawing>
      </w:r>
      <w:r>
        <w:t xml:space="preserve"> </w:t>
      </w:r>
    </w:p>
    <w:p w14:paraId="6F4BB785" w14:textId="77777777" w:rsidR="0087728F" w:rsidRDefault="00FB57D2">
      <w:pPr>
        <w:spacing w:after="0" w:line="259" w:lineRule="auto"/>
        <w:ind w:left="45" w:right="0" w:firstLine="0"/>
        <w:jc w:val="center"/>
      </w:pPr>
      <w:r>
        <w:t xml:space="preserve"> </w:t>
      </w:r>
    </w:p>
    <w:p w14:paraId="46CC6C4A" w14:textId="77777777" w:rsidR="0087728F" w:rsidRDefault="00FB57D2">
      <w:pPr>
        <w:spacing w:after="23" w:line="259" w:lineRule="auto"/>
        <w:ind w:left="0" w:right="0" w:firstLine="0"/>
        <w:jc w:val="left"/>
      </w:pPr>
      <w:r>
        <w:rPr>
          <w:rFonts w:ascii="Arial" w:eastAsia="Arial" w:hAnsi="Arial" w:cs="Arial"/>
        </w:rPr>
        <w:t xml:space="preserve"> </w:t>
      </w:r>
    </w:p>
    <w:p w14:paraId="2B634034" w14:textId="77777777" w:rsidR="0087728F" w:rsidRDefault="00FB57D2">
      <w:pPr>
        <w:ind w:left="-5" w:right="0"/>
      </w:pPr>
      <w:r>
        <w:t xml:space="preserve">En cumplimiento de lo dispuesto en la Circular 3/2020 del segmento BME </w:t>
      </w:r>
      <w:proofErr w:type="spellStart"/>
      <w:r>
        <w:t>Growth</w:t>
      </w:r>
      <w:proofErr w:type="spellEnd"/>
      <w:r>
        <w:t xml:space="preserve"> de BME MTF </w:t>
      </w:r>
      <w:proofErr w:type="spellStart"/>
      <w:r>
        <w:t>Equity</w:t>
      </w:r>
      <w:proofErr w:type="spellEnd"/>
      <w:r>
        <w:t>, se deja expresa constancia de que la información comunicada por la presente ha sido elaborada bajo la exclusiva responsabilidad de la Sociedad y sus administra</w:t>
      </w:r>
      <w:r>
        <w:t xml:space="preserve">dores.  </w:t>
      </w:r>
    </w:p>
    <w:p w14:paraId="19A2E542" w14:textId="77777777" w:rsidR="0087728F" w:rsidRDefault="00FB57D2">
      <w:pPr>
        <w:spacing w:after="21" w:line="259" w:lineRule="auto"/>
        <w:ind w:left="0" w:right="0" w:firstLine="0"/>
        <w:jc w:val="left"/>
      </w:pPr>
      <w:r>
        <w:rPr>
          <w:rFonts w:ascii="Arial" w:eastAsia="Arial" w:hAnsi="Arial" w:cs="Arial"/>
        </w:rPr>
        <w:t xml:space="preserve"> </w:t>
      </w:r>
    </w:p>
    <w:p w14:paraId="1941CAB4" w14:textId="77777777" w:rsidR="0087728F" w:rsidRDefault="00FB57D2">
      <w:pPr>
        <w:ind w:left="-5" w:right="0"/>
      </w:pPr>
      <w:r>
        <w:t xml:space="preserve">Quedamos a su disposición para cuantas aclaraciones consideren oportunas.  </w:t>
      </w:r>
    </w:p>
    <w:p w14:paraId="0C0A17F0" w14:textId="77777777" w:rsidR="0087728F" w:rsidRDefault="00FB57D2">
      <w:pPr>
        <w:spacing w:after="43" w:line="259" w:lineRule="auto"/>
        <w:ind w:left="0" w:right="0" w:firstLine="0"/>
        <w:jc w:val="left"/>
      </w:pPr>
      <w:r>
        <w:t xml:space="preserve"> </w:t>
      </w:r>
    </w:p>
    <w:p w14:paraId="7A44FCAB" w14:textId="77777777" w:rsidR="0087728F" w:rsidRDefault="00FB57D2">
      <w:pPr>
        <w:ind w:left="-5" w:right="0"/>
      </w:pPr>
      <w:r>
        <w:t xml:space="preserve">Atentamente,  </w:t>
      </w:r>
    </w:p>
    <w:p w14:paraId="439E2BF3" w14:textId="77777777" w:rsidR="0087728F" w:rsidRDefault="00FB57D2">
      <w:pPr>
        <w:spacing w:after="43" w:line="259" w:lineRule="auto"/>
        <w:ind w:left="0" w:right="0" w:firstLine="0"/>
        <w:jc w:val="left"/>
      </w:pPr>
      <w:r>
        <w:t xml:space="preserve"> </w:t>
      </w:r>
    </w:p>
    <w:p w14:paraId="2608DE9F" w14:textId="77777777" w:rsidR="0087728F" w:rsidRDefault="00FB57D2">
      <w:pPr>
        <w:spacing w:after="43" w:line="259" w:lineRule="auto"/>
        <w:ind w:left="0" w:right="0" w:firstLine="0"/>
        <w:jc w:val="left"/>
      </w:pPr>
      <w:r>
        <w:t xml:space="preserve"> </w:t>
      </w:r>
    </w:p>
    <w:p w14:paraId="3D514F55" w14:textId="77777777" w:rsidR="0087728F" w:rsidRDefault="00FB57D2">
      <w:pPr>
        <w:spacing w:after="46" w:line="259" w:lineRule="auto"/>
        <w:ind w:left="0" w:right="0" w:firstLine="0"/>
        <w:jc w:val="left"/>
      </w:pPr>
      <w:r>
        <w:t xml:space="preserve"> </w:t>
      </w:r>
    </w:p>
    <w:p w14:paraId="735D33FC" w14:textId="77777777" w:rsidR="0087728F" w:rsidRDefault="00FB57D2">
      <w:pPr>
        <w:spacing w:after="43" w:line="259" w:lineRule="auto"/>
        <w:ind w:left="0" w:right="0" w:firstLine="0"/>
        <w:jc w:val="left"/>
      </w:pPr>
      <w:r>
        <w:t xml:space="preserve"> </w:t>
      </w:r>
    </w:p>
    <w:p w14:paraId="59A04F05" w14:textId="77777777" w:rsidR="0087728F" w:rsidRDefault="00FB57D2">
      <w:pPr>
        <w:ind w:left="-5" w:right="0"/>
      </w:pPr>
      <w:r>
        <w:t xml:space="preserve">_________________  </w:t>
      </w:r>
    </w:p>
    <w:p w14:paraId="7604520C" w14:textId="77777777" w:rsidR="0087728F" w:rsidRDefault="00FB57D2">
      <w:pPr>
        <w:ind w:left="-5" w:right="0"/>
      </w:pPr>
      <w:r>
        <w:t xml:space="preserve">Lorenzo Serratosa </w:t>
      </w:r>
      <w:proofErr w:type="spellStart"/>
      <w:r>
        <w:t>Gallardo</w:t>
      </w:r>
      <w:proofErr w:type="spellEnd"/>
      <w:r>
        <w:t xml:space="preserve">  </w:t>
      </w:r>
    </w:p>
    <w:p w14:paraId="1ECC9165" w14:textId="77777777" w:rsidR="0087728F" w:rsidRDefault="00FB57D2">
      <w:pPr>
        <w:spacing w:after="37" w:line="259" w:lineRule="auto"/>
        <w:ind w:left="-15" w:right="0" w:firstLine="0"/>
        <w:jc w:val="left"/>
      </w:pPr>
      <w:r>
        <w:rPr>
          <w:b/>
        </w:rPr>
        <w:t>Presidente del Consejo de Administración</w:t>
      </w:r>
      <w:r>
        <w:t xml:space="preserve"> </w:t>
      </w:r>
    </w:p>
    <w:sectPr w:rsidR="0087728F">
      <w:pgSz w:w="11906" w:h="16838"/>
      <w:pgMar w:top="708" w:right="1697" w:bottom="1528" w:left="170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728F"/>
    <w:rsid w:val="0087728F"/>
    <w:rsid w:val="00FB57D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DE15B"/>
  <w15:docId w15:val="{680724E0-FFA3-488C-AAA0-B231252A1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s-ES" w:eastAsia="es-E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98" w:lineRule="auto"/>
      <w:ind w:left="10" w:right="4" w:hanging="10"/>
      <w:jc w:val="both"/>
    </w:pPr>
    <w:rPr>
      <w:rFonts w:ascii="Calibri" w:eastAsia="Calibri" w:hAnsi="Calibri" w:cs="Calibri"/>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359</Words>
  <Characters>1979</Characters>
  <Application>Microsoft Office Word</Application>
  <DocSecurity>0</DocSecurity>
  <Lines>16</Lines>
  <Paragraphs>4</Paragraphs>
  <ScaleCrop>false</ScaleCrop>
  <Company/>
  <LinksUpToDate>false</LinksUpToDate>
  <CharactersWithSpaces>2334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GOMEZ PASCUAL</dc:creator>
  <cp:keywords/>
  <cp:lastModifiedBy>Carmen Damiá Serratosa</cp:lastModifiedBy>
  <cp:revision>2</cp:revision>
  <dcterms:created xsi:type="dcterms:W3CDTF">2023-06-20T11:41:00Z</dcterms:created>
  <dcterms:modified xsi:type="dcterms:W3CDTF">2023-06-20T11:41:00Z</dcterms:modified>
</cp:coreProperties>
</file>