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BFF2" w14:textId="77777777" w:rsidR="00F376D8" w:rsidRPr="006B5F48" w:rsidRDefault="00F376D8" w:rsidP="00F376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6B5F48">
        <w:rPr>
          <w:rStyle w:val="eop"/>
          <w:rFonts w:ascii="Titillium Web" w:hAnsi="Titillium Web" w:cs="Segoe UI"/>
          <w:color w:val="242424"/>
          <w:sz w:val="20"/>
          <w:szCs w:val="20"/>
        </w:rPr>
        <w:t> </w:t>
      </w:r>
    </w:p>
    <w:p w14:paraId="20708BEB" w14:textId="77777777" w:rsidR="00F376D8" w:rsidRPr="006B5F48" w:rsidRDefault="00F376D8" w:rsidP="00F376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6B5F48">
        <w:rPr>
          <w:rStyle w:val="eop"/>
          <w:rFonts w:ascii="Titillium Web" w:hAnsi="Titillium Web" w:cs="Segoe UI"/>
          <w:color w:val="242424"/>
          <w:sz w:val="20"/>
          <w:szCs w:val="20"/>
        </w:rPr>
        <w:t> </w:t>
      </w:r>
    </w:p>
    <w:p w14:paraId="796AB031" w14:textId="5549B5F1" w:rsidR="007E752B" w:rsidRPr="006378A1" w:rsidRDefault="00B91192" w:rsidP="006378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  <w:r>
        <w:rPr>
          <w:rStyle w:val="normaltextrun"/>
          <w:rFonts w:ascii="Titillium Web" w:hAnsi="Titillium Web" w:cs="Segoe UI"/>
          <w:color w:val="242424"/>
          <w:sz w:val="22"/>
          <w:szCs w:val="22"/>
        </w:rPr>
        <w:t>18 January 2024</w:t>
      </w:r>
    </w:p>
    <w:p w14:paraId="7DA23266" w14:textId="77777777" w:rsidR="007E752B" w:rsidRPr="006378A1" w:rsidRDefault="007E752B" w:rsidP="00637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tillium Web" w:hAnsi="Titillium Web" w:cs="Segoe UI"/>
          <w:b/>
          <w:bCs/>
          <w:color w:val="000000"/>
          <w:sz w:val="22"/>
          <w:szCs w:val="22"/>
        </w:rPr>
      </w:pPr>
    </w:p>
    <w:p w14:paraId="34936369" w14:textId="6E10DC51" w:rsidR="00306021" w:rsidRPr="00E2637E" w:rsidRDefault="00306021" w:rsidP="006378A1">
      <w:pPr>
        <w:pStyle w:val="paragraph"/>
        <w:jc w:val="center"/>
        <w:textAlignment w:val="baseline"/>
        <w:rPr>
          <w:rStyle w:val="eop"/>
          <w:rFonts w:ascii="Titillium Web" w:eastAsiaTheme="minorHAnsi" w:hAnsi="Titillium Web" w:cs="Segoe U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2637E">
        <w:rPr>
          <w:rStyle w:val="eop"/>
          <w:rFonts w:ascii="Titillium Web" w:hAnsi="Titillium Web" w:cs="Segoe UI"/>
          <w:b/>
          <w:bCs/>
          <w:color w:val="000000"/>
          <w:sz w:val="22"/>
          <w:szCs w:val="22"/>
        </w:rPr>
        <w:t>SUBSTRATE ARTIFICIAL INTELIGENCE SOCIEDAD ANONIMA</w:t>
      </w:r>
    </w:p>
    <w:p w14:paraId="15598186" w14:textId="77777777" w:rsidR="00306021" w:rsidRDefault="00306021">
      <w:pPr>
        <w:pStyle w:val="paragraph"/>
        <w:jc w:val="center"/>
        <w:textAlignment w:val="baseline"/>
        <w:rPr>
          <w:rStyle w:val="eop"/>
          <w:rFonts w:ascii="Titillium Web" w:hAnsi="Titillium Web" w:cs="Segoe UI"/>
          <w:color w:val="000000"/>
          <w:sz w:val="22"/>
          <w:szCs w:val="22"/>
        </w:rPr>
      </w:pPr>
      <w:r w:rsidRPr="006B5F48">
        <w:rPr>
          <w:rStyle w:val="eop"/>
          <w:rFonts w:ascii="Titillium Web" w:hAnsi="Titillium Web" w:cs="Segoe UI"/>
          <w:color w:val="000000"/>
          <w:sz w:val="22"/>
          <w:szCs w:val="22"/>
        </w:rPr>
        <w:t>("</w:t>
      </w:r>
      <w:r w:rsidRPr="00E2637E">
        <w:rPr>
          <w:rStyle w:val="eop"/>
          <w:rFonts w:ascii="Titillium Web" w:hAnsi="Titillium Web" w:cs="Segoe UI"/>
          <w:b/>
          <w:bCs/>
          <w:color w:val="000000"/>
          <w:sz w:val="22"/>
          <w:szCs w:val="22"/>
        </w:rPr>
        <w:t>Substrate AI</w:t>
      </w:r>
      <w:r w:rsidRPr="006B5F48">
        <w:rPr>
          <w:rStyle w:val="eop"/>
          <w:rFonts w:ascii="Titillium Web" w:hAnsi="Titillium Web" w:cs="Segoe UI"/>
          <w:color w:val="000000"/>
          <w:sz w:val="22"/>
          <w:szCs w:val="22"/>
        </w:rPr>
        <w:t>" or the "</w:t>
      </w:r>
      <w:r w:rsidRPr="00E2637E">
        <w:rPr>
          <w:rStyle w:val="eop"/>
          <w:rFonts w:ascii="Titillium Web" w:hAnsi="Titillium Web" w:cs="Segoe UI"/>
          <w:b/>
          <w:bCs/>
          <w:color w:val="000000"/>
          <w:sz w:val="22"/>
          <w:szCs w:val="22"/>
        </w:rPr>
        <w:t>Company</w:t>
      </w:r>
      <w:r w:rsidRPr="006B5F48">
        <w:rPr>
          <w:rStyle w:val="eop"/>
          <w:rFonts w:ascii="Titillium Web" w:hAnsi="Titillium Web" w:cs="Segoe UI"/>
          <w:color w:val="000000"/>
          <w:sz w:val="22"/>
          <w:szCs w:val="22"/>
        </w:rPr>
        <w:t>")</w:t>
      </w:r>
    </w:p>
    <w:p w14:paraId="4DC1A3BE" w14:textId="77777777" w:rsidR="008E0F21" w:rsidRDefault="008E0F21">
      <w:pPr>
        <w:pStyle w:val="paragraph"/>
        <w:jc w:val="center"/>
        <w:textAlignment w:val="baseline"/>
        <w:rPr>
          <w:rStyle w:val="eop"/>
          <w:rFonts w:ascii="Titillium Web" w:hAnsi="Titillium Web" w:cs="Segoe UI"/>
          <w:color w:val="000000"/>
          <w:sz w:val="22"/>
          <w:szCs w:val="22"/>
        </w:rPr>
      </w:pPr>
    </w:p>
    <w:p w14:paraId="3CFE7AF7" w14:textId="4BC0B7C9" w:rsidR="008E0F21" w:rsidRPr="006378A1" w:rsidRDefault="008E0F21" w:rsidP="006378A1">
      <w:pPr>
        <w:pStyle w:val="paragraph"/>
        <w:jc w:val="center"/>
        <w:textAlignment w:val="baseline"/>
        <w:rPr>
          <w:rStyle w:val="eop"/>
          <w:rFonts w:ascii="Titillium Web" w:hAnsi="Titillium Web" w:cs="Segoe UI"/>
          <w:b/>
          <w:bCs/>
          <w:color w:val="000000"/>
          <w:sz w:val="22"/>
          <w:szCs w:val="22"/>
        </w:rPr>
      </w:pPr>
      <w:r w:rsidRPr="006378A1">
        <w:rPr>
          <w:rStyle w:val="eop"/>
          <w:rFonts w:ascii="Titillium Web" w:hAnsi="Titillium Web" w:cs="Segoe UI"/>
          <w:b/>
          <w:bCs/>
          <w:color w:val="000000"/>
          <w:sz w:val="22"/>
          <w:szCs w:val="22"/>
        </w:rPr>
        <w:t>Issue of Convertible Bonds and Warrants</w:t>
      </w:r>
    </w:p>
    <w:p w14:paraId="7DF0BB68" w14:textId="16662063" w:rsidR="00F376D8" w:rsidRPr="006B5F48" w:rsidRDefault="00F376D8" w:rsidP="00F376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F22252A" w14:textId="1E2D6260" w:rsidR="006B5F48" w:rsidRDefault="00205E47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  <w:r w:rsidRPr="006378A1">
        <w:rPr>
          <w:rStyle w:val="normaltextrun"/>
          <w:rFonts w:ascii="Titillium Web" w:hAnsi="Titillium Web" w:cs="Segoe UI"/>
          <w:sz w:val="22"/>
          <w:szCs w:val="22"/>
        </w:rPr>
        <w:t>Substrate AI (AQUIS:</w:t>
      </w:r>
      <w:r w:rsidR="0097590E">
        <w:rPr>
          <w:rStyle w:val="normaltextrun"/>
          <w:rFonts w:ascii="Titillium Web" w:hAnsi="Titillium Web" w:cs="Segoe UI"/>
          <w:sz w:val="22"/>
          <w:szCs w:val="22"/>
        </w:rPr>
        <w:t xml:space="preserve"> </w:t>
      </w:r>
      <w:r w:rsidR="00EB6593">
        <w:rPr>
          <w:rStyle w:val="normaltextrun"/>
          <w:rFonts w:ascii="Titillium Web" w:hAnsi="Titillium Web" w:cs="Segoe UI"/>
          <w:sz w:val="22"/>
          <w:szCs w:val="22"/>
        </w:rPr>
        <w:t>SAI/</w:t>
      </w:r>
      <w:r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SAI.B) announces its </w:t>
      </w:r>
      <w:r w:rsidR="00B9439D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thirteenth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issu</w:t>
      </w:r>
      <w:r w:rsidR="00DE305C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ance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of 50 Bonds convertible into </w:t>
      </w:r>
      <w:r w:rsidR="00325AE1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class A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shares of the Company for a</w:t>
      </w:r>
      <w:r w:rsidR="00C96EAB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n aggregate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nominal amount of </w:t>
      </w:r>
      <w:r w:rsidR="00894620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€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500,000 </w:t>
      </w:r>
      <w:r w:rsidR="00713AF1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(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the "Convertible </w:t>
      </w:r>
      <w:r w:rsidR="008102FF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Bonds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(</w:t>
      </w:r>
      <w:r w:rsidR="007F1524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January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202</w:t>
      </w:r>
      <w:r w:rsidR="007F1524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4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)"</w:t>
      </w:r>
      <w:r w:rsidR="00713AF1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)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, as well as the issuance of </w:t>
      </w:r>
      <w:r w:rsidR="00724F7E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370</w:t>
      </w:r>
      <w:r w:rsidR="3D0E4A2C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,</w:t>
      </w:r>
      <w:r w:rsidR="00724F7E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370 </w:t>
      </w:r>
      <w:r w:rsidR="00F95805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warrants </w:t>
      </w:r>
      <w:r w:rsidR="00713AF1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(</w:t>
      </w:r>
      <w:r w:rsidR="00F95805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the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"</w:t>
      </w:r>
      <w:r w:rsidR="00F95805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Warrants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T1</w:t>
      </w:r>
      <w:r w:rsidR="00724F7E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3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"</w:t>
      </w:r>
      <w:r w:rsidR="00713AF1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)</w:t>
      </w:r>
      <w:r w:rsidR="00F95805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,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with Global Corporate Finance Opportunities </w:t>
      </w:r>
      <w:r w:rsidR="00412A29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15 </w:t>
      </w:r>
      <w:r w:rsidR="00F46064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("GCFO15"</w:t>
      </w:r>
      <w:r w:rsidR="003234E3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or the “Investor”</w:t>
      </w:r>
      <w:r w:rsidR="00F46064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) 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being the sole recipient of such </w:t>
      </w:r>
      <w:r w:rsidR="003B0077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securities</w:t>
      </w:r>
      <w:r w:rsidR="00F376D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. </w:t>
      </w:r>
      <w:r w:rsidR="00AF651C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</w:t>
      </w:r>
    </w:p>
    <w:p w14:paraId="09989600" w14:textId="77777777" w:rsidR="00DE305C" w:rsidRDefault="00DE305C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</w:p>
    <w:p w14:paraId="3FFB91FA" w14:textId="0893A55A" w:rsidR="0002238F" w:rsidRDefault="0002238F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  <w:r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This issuance relates to </w:t>
      </w:r>
      <w:r w:rsidR="00D514B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the investment agreement dated 15 June 2022 </w:t>
      </w:r>
      <w:r w:rsidR="00022C7F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(the “Investment Agreement”) </w:t>
      </w:r>
      <w:r w:rsidR="00D514B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entered into with </w:t>
      </w:r>
      <w:r w:rsidR="00F46064" w:rsidRPr="00F46064">
        <w:rPr>
          <w:rStyle w:val="normaltextrun"/>
          <w:rFonts w:ascii="Titillium Web" w:hAnsi="Titillium Web" w:cs="Segoe UI"/>
          <w:color w:val="000000"/>
          <w:sz w:val="22"/>
          <w:szCs w:val="22"/>
        </w:rPr>
        <w:t>GCFO15, a financial vehicle managed by Alpha Blue Ocean ("ABO")</w:t>
      </w:r>
      <w:r w:rsid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, by which </w:t>
      </w:r>
      <w:r w:rsidR="00542130">
        <w:rPr>
          <w:rStyle w:val="normaltextrun"/>
          <w:rFonts w:ascii="Titillium Web" w:hAnsi="Titillium Web" w:cs="Segoe UI"/>
          <w:color w:val="000000"/>
          <w:sz w:val="22"/>
          <w:szCs w:val="22"/>
        </w:rPr>
        <w:t>the</w:t>
      </w:r>
      <w:r w:rsid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Investor </w:t>
      </w:r>
      <w:r w:rsidR="00542130">
        <w:rPr>
          <w:rStyle w:val="normaltextrun"/>
          <w:rFonts w:ascii="Titillium Web" w:hAnsi="Titillium Web" w:cs="Segoe UI"/>
          <w:color w:val="000000"/>
          <w:sz w:val="22"/>
          <w:szCs w:val="22"/>
        </w:rPr>
        <w:t>committed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to </w:t>
      </w:r>
      <w:r w:rsidR="00A50E9A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providing a facility of 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up to </w:t>
      </w:r>
      <w:r w:rsidR="000762B3">
        <w:rPr>
          <w:rStyle w:val="normaltextrun"/>
          <w:rFonts w:ascii="Titillium Web" w:hAnsi="Titillium Web" w:cs="Segoe UI"/>
          <w:color w:val="000000"/>
          <w:sz w:val="22"/>
          <w:szCs w:val="22"/>
        </w:rPr>
        <w:t>€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>20,000,000</w:t>
      </w:r>
      <w:r w:rsidR="00A50E9A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to the Company</w:t>
      </w:r>
      <w:r w:rsidR="00C37D9B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(the “Commitment”)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, by subscribing to </w:t>
      </w:r>
      <w:r w:rsidR="000762B3">
        <w:rPr>
          <w:rStyle w:val="normaltextrun"/>
          <w:rFonts w:ascii="Titillium Web" w:hAnsi="Titillium Web" w:cs="Segoe UI"/>
          <w:color w:val="000000"/>
          <w:sz w:val="22"/>
          <w:szCs w:val="22"/>
        </w:rPr>
        <w:t>interest-free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mandatory convertible bonds (</w:t>
      </w:r>
      <w:proofErr w:type="spellStart"/>
      <w:r w:rsidR="003234E3" w:rsidRPr="006378A1">
        <w:rPr>
          <w:rStyle w:val="normaltextrun"/>
          <w:rFonts w:ascii="Titillium Web" w:hAnsi="Titillium Web" w:cs="Segoe UI"/>
          <w:i/>
          <w:iCs/>
          <w:color w:val="000000"/>
          <w:sz w:val="22"/>
          <w:szCs w:val="22"/>
        </w:rPr>
        <w:t>obligaciones</w:t>
      </w:r>
      <w:proofErr w:type="spellEnd"/>
      <w:r w:rsidR="003234E3" w:rsidRPr="006378A1">
        <w:rPr>
          <w:rStyle w:val="normaltextrun"/>
          <w:rFonts w:ascii="Titillium Web" w:hAnsi="Titillium Web" w:cs="Segoe UI"/>
          <w:i/>
          <w:iCs/>
          <w:color w:val="000000"/>
          <w:sz w:val="22"/>
          <w:szCs w:val="22"/>
        </w:rPr>
        <w:t xml:space="preserve"> convertibles </w:t>
      </w:r>
      <w:proofErr w:type="spellStart"/>
      <w:r w:rsidR="003234E3" w:rsidRPr="006378A1">
        <w:rPr>
          <w:rStyle w:val="normaltextrun"/>
          <w:rFonts w:ascii="Titillium Web" w:hAnsi="Titillium Web" w:cs="Segoe UI"/>
          <w:i/>
          <w:iCs/>
          <w:color w:val="000000"/>
          <w:sz w:val="22"/>
          <w:szCs w:val="22"/>
        </w:rPr>
        <w:t>en</w:t>
      </w:r>
      <w:proofErr w:type="spellEnd"/>
      <w:r w:rsidR="003234E3" w:rsidRPr="006378A1">
        <w:rPr>
          <w:rStyle w:val="normaltextrun"/>
          <w:rFonts w:ascii="Titillium Web" w:hAnsi="Titillium Web" w:cs="Segoe UI"/>
          <w:i/>
          <w:iCs/>
          <w:color w:val="000000"/>
          <w:sz w:val="22"/>
          <w:szCs w:val="22"/>
        </w:rPr>
        <w:t xml:space="preserve"> </w:t>
      </w:r>
      <w:proofErr w:type="spellStart"/>
      <w:r w:rsidR="003234E3" w:rsidRPr="006378A1">
        <w:rPr>
          <w:rStyle w:val="normaltextrun"/>
          <w:rFonts w:ascii="Titillium Web" w:hAnsi="Titillium Web" w:cs="Segoe UI"/>
          <w:i/>
          <w:iCs/>
          <w:color w:val="000000"/>
          <w:sz w:val="22"/>
          <w:szCs w:val="22"/>
        </w:rPr>
        <w:t>acciones</w:t>
      </w:r>
      <w:proofErr w:type="spellEnd"/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), each with a par value of </w:t>
      </w:r>
      <w:r w:rsidR="00DD1220">
        <w:rPr>
          <w:rStyle w:val="normaltextrun"/>
          <w:rFonts w:ascii="Titillium Web" w:hAnsi="Titillium Web" w:cs="Segoe UI"/>
          <w:color w:val="000000"/>
          <w:sz w:val="22"/>
          <w:szCs w:val="22"/>
        </w:rPr>
        <w:t>€</w:t>
      </w:r>
      <w:r w:rsidR="003234E3" w:rsidRPr="003234E3">
        <w:rPr>
          <w:rStyle w:val="normaltextrun"/>
          <w:rFonts w:ascii="Titillium Web" w:hAnsi="Titillium Web" w:cs="Segoe UI"/>
          <w:color w:val="000000"/>
          <w:sz w:val="22"/>
          <w:szCs w:val="22"/>
        </w:rPr>
        <w:t>10,000</w:t>
      </w:r>
      <w:r w:rsidR="00E778B9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and with a duration of 12 months </w:t>
      </w:r>
      <w:r w:rsidR="003072F1">
        <w:rPr>
          <w:rStyle w:val="normaltextrun"/>
          <w:rFonts w:ascii="Titillium Web" w:hAnsi="Titillium Web" w:cs="Segoe UI"/>
          <w:color w:val="000000"/>
          <w:sz w:val="22"/>
          <w:szCs w:val="22"/>
        </w:rPr>
        <w:t>from their respective date of issuance</w:t>
      </w:r>
      <w:r w:rsidR="003019E2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(each, a “Convertible Bond”)</w:t>
      </w:r>
      <w:r w:rsidR="00DD1220">
        <w:rPr>
          <w:rStyle w:val="normaltextrun"/>
          <w:rFonts w:ascii="Titillium Web" w:hAnsi="Titillium Web" w:cs="Segoe UI"/>
          <w:color w:val="000000"/>
          <w:sz w:val="22"/>
          <w:szCs w:val="22"/>
        </w:rPr>
        <w:t>.</w:t>
      </w:r>
      <w:r w:rsid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</w:t>
      </w:r>
      <w:r w:rsidR="0086102D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By means of the Investment Agreement, the Investor undertook </w:t>
      </w:r>
      <w:r w:rsidR="00C37D9B">
        <w:rPr>
          <w:rStyle w:val="normaltextrun"/>
          <w:rFonts w:ascii="Titillium Web" w:hAnsi="Titillium Web" w:cs="Segoe UI"/>
          <w:color w:val="000000"/>
          <w:sz w:val="22"/>
          <w:szCs w:val="22"/>
        </w:rPr>
        <w:t>the Commitment</w:t>
      </w:r>
      <w:r w:rsidR="0086102D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</w:t>
      </w:r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>in 39 sequential tranches (each, a “Tranche”), with an aggregate nominal value of (</w:t>
      </w:r>
      <w:proofErr w:type="spellStart"/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>i</w:t>
      </w:r>
      <w:proofErr w:type="spellEnd"/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) </w:t>
      </w:r>
      <w:r w:rsidR="00102CED">
        <w:rPr>
          <w:rStyle w:val="normaltextrun"/>
          <w:rFonts w:ascii="Titillium Web" w:hAnsi="Titillium Web" w:cs="Segoe UI"/>
          <w:color w:val="000000"/>
          <w:sz w:val="22"/>
          <w:szCs w:val="22"/>
        </w:rPr>
        <w:t>€</w:t>
      </w:r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1,000,000 for the first Tranche and (ii) </w:t>
      </w:r>
      <w:r w:rsidR="00102CED">
        <w:rPr>
          <w:rStyle w:val="normaltextrun"/>
          <w:rFonts w:ascii="Titillium Web" w:hAnsi="Titillium Web" w:cs="Segoe UI"/>
          <w:color w:val="000000"/>
          <w:sz w:val="22"/>
          <w:szCs w:val="22"/>
        </w:rPr>
        <w:t>€</w:t>
      </w:r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500,000 for the following 3</w:t>
      </w:r>
      <w:r w:rsidR="00102CED">
        <w:rPr>
          <w:rStyle w:val="normaltextrun"/>
          <w:rFonts w:ascii="Titillium Web" w:hAnsi="Titillium Web" w:cs="Segoe UI"/>
          <w:color w:val="000000"/>
          <w:sz w:val="22"/>
          <w:szCs w:val="22"/>
        </w:rPr>
        <w:t>8</w:t>
      </w:r>
      <w:r w:rsidR="007A5707" w:rsidRPr="007A570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Tranches.</w:t>
      </w:r>
      <w:r w:rsidR="006378A1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The conversion price </w:t>
      </w:r>
      <w:r w:rsidR="003019E2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of each Convertible Bond </w:t>
      </w:r>
      <w:r w:rsidR="0094771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is the higher of </w:t>
      </w:r>
      <w:r w:rsidR="00947713" w:rsidRPr="00947713">
        <w:rPr>
          <w:rStyle w:val="normaltextrun"/>
          <w:rFonts w:ascii="Titillium Web" w:hAnsi="Titillium Web" w:cs="Segoe UI"/>
          <w:color w:val="000000"/>
          <w:sz w:val="22"/>
          <w:szCs w:val="22"/>
        </w:rPr>
        <w:t>(</w:t>
      </w:r>
      <w:proofErr w:type="spellStart"/>
      <w:r w:rsidR="00947713" w:rsidRPr="00947713">
        <w:rPr>
          <w:rStyle w:val="normaltextrun"/>
          <w:rFonts w:ascii="Titillium Web" w:hAnsi="Titillium Web" w:cs="Segoe UI"/>
          <w:color w:val="000000"/>
          <w:sz w:val="22"/>
          <w:szCs w:val="22"/>
        </w:rPr>
        <w:t>i</w:t>
      </w:r>
      <w:proofErr w:type="spellEnd"/>
      <w:r w:rsidR="00947713" w:rsidRPr="00947713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) the theoretical conversion price and (ii) the nominal value of </w:t>
      </w:r>
      <w:r w:rsidR="00AC05EB">
        <w:rPr>
          <w:rStyle w:val="normaltextrun"/>
          <w:rFonts w:ascii="Titillium Web" w:hAnsi="Titillium Web" w:cs="Segoe UI"/>
          <w:color w:val="000000"/>
          <w:sz w:val="22"/>
          <w:szCs w:val="22"/>
        </w:rPr>
        <w:t>the class A s</w:t>
      </w:r>
      <w:r w:rsidR="00947713" w:rsidRPr="00947713">
        <w:rPr>
          <w:rStyle w:val="normaltextrun"/>
          <w:rFonts w:ascii="Titillium Web" w:hAnsi="Titillium Web" w:cs="Segoe UI"/>
          <w:color w:val="000000"/>
          <w:sz w:val="22"/>
          <w:szCs w:val="22"/>
        </w:rPr>
        <w:t>hare.</w:t>
      </w:r>
      <w:r w:rsid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The theoretical conversion price </w:t>
      </w:r>
      <w:r w:rsidR="00BD5755" w:rsidRP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means 95% of the lowest </w:t>
      </w:r>
      <w:r w:rsidR="00147D97" w:rsidRPr="00147D9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closing volume weighted average price of the </w:t>
      </w:r>
      <w:r w:rsidR="00E118EE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class A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shares</w:t>
      </w:r>
      <w:r w:rsidR="00147D97" w:rsidRPr="00147D9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on </w:t>
      </w:r>
      <w:r w:rsidR="002B410D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the </w:t>
      </w:r>
      <w:r w:rsidR="00147D97" w:rsidRPr="00147D97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BME Growth </w:t>
      </w:r>
      <w:r w:rsidR="002B410D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Market </w:t>
      </w:r>
      <w:r w:rsidR="00147D97" w:rsidRPr="00147D97">
        <w:rPr>
          <w:rStyle w:val="normaltextrun"/>
          <w:rFonts w:ascii="Titillium Web" w:hAnsi="Titillium Web" w:cs="Segoe UI"/>
          <w:color w:val="000000"/>
          <w:sz w:val="22"/>
          <w:szCs w:val="22"/>
        </w:rPr>
        <w:t>as published by Bloomberg</w:t>
      </w:r>
      <w:r w:rsidR="004167AE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(</w:t>
      </w:r>
      <w:r w:rsidR="00412FAA">
        <w:rPr>
          <w:rStyle w:val="normaltextrun"/>
          <w:rFonts w:ascii="Titillium Web" w:hAnsi="Titillium Web" w:cs="Segoe UI"/>
          <w:color w:val="000000"/>
          <w:sz w:val="22"/>
          <w:szCs w:val="22"/>
        </w:rPr>
        <w:t>the “Daily VWAP”)</w:t>
      </w:r>
      <w:r w:rsidR="0021023C">
        <w:rPr>
          <w:rStyle w:val="normaltextrun"/>
          <w:rFonts w:ascii="Titillium Web" w:hAnsi="Titillium Web" w:cs="Segoe UI"/>
          <w:color w:val="000000"/>
          <w:sz w:val="22"/>
          <w:szCs w:val="22"/>
        </w:rPr>
        <w:t>,</w:t>
      </w:r>
      <w:r w:rsidR="00BD5755" w:rsidRP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 during the 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period of five (5) consecutive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t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rading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d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ays expiring on the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t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rading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d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ay immediately preceding the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c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onversion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d</w:t>
      </w:r>
      <w:r w:rsidR="00607828" w:rsidRP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ate</w:t>
      </w:r>
      <w:r w:rsidR="00BD5755" w:rsidRP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. The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c</w:t>
      </w:r>
      <w:r w:rsidR="00BD5755" w:rsidRP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 xml:space="preserve">onversion </w:t>
      </w:r>
      <w:r w:rsidR="00607828">
        <w:rPr>
          <w:rStyle w:val="normaltextrun"/>
          <w:rFonts w:ascii="Titillium Web" w:hAnsi="Titillium Web" w:cs="Segoe UI"/>
          <w:color w:val="000000"/>
          <w:sz w:val="22"/>
          <w:szCs w:val="22"/>
        </w:rPr>
        <w:t>p</w:t>
      </w:r>
      <w:r w:rsidR="00BD5755" w:rsidRPr="00BD5755">
        <w:rPr>
          <w:rStyle w:val="normaltextrun"/>
          <w:rFonts w:ascii="Titillium Web" w:hAnsi="Titillium Web" w:cs="Segoe UI"/>
          <w:color w:val="000000"/>
          <w:sz w:val="22"/>
          <w:szCs w:val="22"/>
        </w:rPr>
        <w:t>rice will be determined by rounding down to the nearest 1/100th.</w:t>
      </w:r>
    </w:p>
    <w:p w14:paraId="351D91B5" w14:textId="77777777" w:rsidR="0002238F" w:rsidRDefault="0002238F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</w:p>
    <w:p w14:paraId="0BB37F03" w14:textId="402316D1" w:rsidR="00A463EB" w:rsidRDefault="00A463EB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  <w:r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Following this issuance, </w:t>
      </w:r>
      <w:r w:rsidR="04789785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t</w:t>
      </w:r>
      <w:r w:rsidR="00B93B9B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he Company has issued</w:t>
      </w:r>
      <w:r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 </w:t>
      </w:r>
      <w:r w:rsidR="00B61E80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630 </w:t>
      </w:r>
      <w:r w:rsidR="00DB1A38"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 xml:space="preserve">Convertible Bonds </w:t>
      </w:r>
      <w:r w:rsidRPr="072F0DEC">
        <w:rPr>
          <w:rStyle w:val="normaltextrun"/>
          <w:rFonts w:ascii="Titillium Web" w:hAnsi="Titillium Web" w:cs="Segoe UI"/>
          <w:color w:val="000000" w:themeColor="text1"/>
          <w:sz w:val="22"/>
          <w:szCs w:val="22"/>
        </w:rPr>
        <w:t>under the Investment Agreement.</w:t>
      </w:r>
    </w:p>
    <w:p w14:paraId="74980A6D" w14:textId="77777777" w:rsidR="00A463EB" w:rsidRDefault="00A463EB" w:rsidP="00F319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tillium Web" w:hAnsi="Titillium Web" w:cs="Segoe UI"/>
          <w:color w:val="000000"/>
          <w:sz w:val="22"/>
          <w:szCs w:val="22"/>
        </w:rPr>
      </w:pPr>
    </w:p>
    <w:p w14:paraId="04EE7CF7" w14:textId="3FD2DD33" w:rsidR="00F376D8" w:rsidRDefault="00F376D8" w:rsidP="00F376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tillium Web" w:hAnsi="Titillium Web" w:cs="Segoe UI"/>
          <w:color w:val="000000"/>
          <w:sz w:val="22"/>
          <w:szCs w:val="22"/>
        </w:rPr>
      </w:pPr>
      <w:r w:rsidRPr="006B5F48">
        <w:rPr>
          <w:rStyle w:val="eop"/>
          <w:rFonts w:ascii="Titillium Web" w:hAnsi="Titillium Web" w:cs="Segoe UI"/>
          <w:color w:val="000000"/>
          <w:sz w:val="22"/>
          <w:szCs w:val="22"/>
        </w:rPr>
        <w:t> </w:t>
      </w:r>
      <w:r w:rsidR="00733B03">
        <w:rPr>
          <w:rStyle w:val="normaltextrun"/>
          <w:rFonts w:ascii="Titillium Web" w:hAnsi="Titillium Web" w:cs="Segoe UI"/>
          <w:sz w:val="22"/>
          <w:szCs w:val="22"/>
        </w:rPr>
        <w:t>On 17 May 2023,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 the Extraordinary General Meeting of Shareholders </w:t>
      </w:r>
      <w:r w:rsidR="0087603E">
        <w:rPr>
          <w:rStyle w:val="normaltextrun"/>
          <w:rFonts w:ascii="Titillium Web" w:hAnsi="Titillium Web" w:cs="Segoe UI"/>
          <w:sz w:val="22"/>
          <w:szCs w:val="22"/>
        </w:rPr>
        <w:t>passed the resolution to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 delegat</w:t>
      </w:r>
      <w:r w:rsidR="0087603E">
        <w:rPr>
          <w:rStyle w:val="normaltextrun"/>
          <w:rFonts w:ascii="Titillium Web" w:hAnsi="Titillium Web" w:cs="Segoe UI"/>
          <w:sz w:val="22"/>
          <w:szCs w:val="22"/>
        </w:rPr>
        <w:t>e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 to the Board of Directors the power to issue convertible </w:t>
      </w:r>
      <w:r w:rsidR="00CB1D93">
        <w:rPr>
          <w:rStyle w:val="normaltextrun"/>
          <w:rFonts w:ascii="Titillium Web" w:hAnsi="Titillium Web" w:cs="Segoe UI"/>
          <w:sz w:val="22"/>
          <w:szCs w:val="22"/>
        </w:rPr>
        <w:t xml:space="preserve">bonds 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into shares of the Company for a maximum nominal amount of €17,200,000, as well as to increase the share capital </w:t>
      </w:r>
      <w:r w:rsidR="00FB7B7B">
        <w:rPr>
          <w:rStyle w:val="normaltextrun"/>
          <w:rFonts w:ascii="Titillium Web" w:hAnsi="Titillium Web" w:cs="Segoe UI"/>
          <w:sz w:val="22"/>
          <w:szCs w:val="22"/>
        </w:rPr>
        <w:t>as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 necessary to </w:t>
      </w:r>
      <w:r w:rsidR="00C674FE">
        <w:rPr>
          <w:rStyle w:val="normaltextrun"/>
          <w:rFonts w:ascii="Titillium Web" w:hAnsi="Titillium Web" w:cs="Segoe UI"/>
          <w:sz w:val="22"/>
          <w:szCs w:val="22"/>
        </w:rPr>
        <w:t>cover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 xml:space="preserve"> the conversion of said </w:t>
      </w:r>
      <w:r w:rsidR="00C674FE">
        <w:rPr>
          <w:rStyle w:val="normaltextrun"/>
          <w:rFonts w:ascii="Titillium Web" w:hAnsi="Titillium Web" w:cs="Segoe UI"/>
          <w:sz w:val="22"/>
          <w:szCs w:val="22"/>
        </w:rPr>
        <w:t>b</w:t>
      </w:r>
      <w:r w:rsidR="00F3194A" w:rsidRPr="006378A1">
        <w:rPr>
          <w:rStyle w:val="normaltextrun"/>
          <w:rFonts w:ascii="Titillium Web" w:hAnsi="Titillium Web" w:cs="Segoe UI"/>
          <w:sz w:val="22"/>
          <w:szCs w:val="22"/>
        </w:rPr>
        <w:t>onds. </w:t>
      </w:r>
      <w:r w:rsidR="00F3194A" w:rsidRPr="006B5F48">
        <w:rPr>
          <w:rStyle w:val="eop"/>
          <w:rFonts w:ascii="Titillium Web" w:hAnsi="Titillium Web" w:cs="Segoe UI"/>
          <w:sz w:val="22"/>
          <w:szCs w:val="22"/>
        </w:rPr>
        <w:t> </w:t>
      </w:r>
      <w:r w:rsidRPr="006B5F48">
        <w:rPr>
          <w:rStyle w:val="eop"/>
          <w:rFonts w:ascii="Titillium Web" w:hAnsi="Titillium Web" w:cs="Segoe UI"/>
          <w:color w:val="000000"/>
          <w:sz w:val="22"/>
          <w:szCs w:val="22"/>
        </w:rPr>
        <w:t> </w:t>
      </w:r>
    </w:p>
    <w:p w14:paraId="31A2A752" w14:textId="177CD5AE" w:rsidR="00022C7F" w:rsidRDefault="00022C7F" w:rsidP="00F376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tillium Web" w:hAnsi="Titillium Web" w:cs="Segoe UI"/>
          <w:color w:val="000000"/>
          <w:sz w:val="22"/>
          <w:szCs w:val="22"/>
        </w:rPr>
      </w:pPr>
    </w:p>
    <w:p w14:paraId="10B0BC02" w14:textId="55FB7FED" w:rsidR="072F0DEC" w:rsidRDefault="072F0DEC" w:rsidP="072F0DEC">
      <w:pPr>
        <w:pStyle w:val="paragraph"/>
        <w:jc w:val="both"/>
        <w:rPr>
          <w:rStyle w:val="eop"/>
          <w:rFonts w:ascii="Titillium Web" w:hAnsi="Titillium Web" w:cs="Segoe UI"/>
          <w:color w:val="000000" w:themeColor="text1"/>
          <w:sz w:val="22"/>
          <w:szCs w:val="22"/>
        </w:rPr>
      </w:pPr>
    </w:p>
    <w:p w14:paraId="270703B0" w14:textId="77777777" w:rsidR="003930F7" w:rsidRDefault="003930F7" w:rsidP="006378A1">
      <w:pPr>
        <w:pStyle w:val="paragraph"/>
        <w:jc w:val="both"/>
        <w:rPr>
          <w:rStyle w:val="eop"/>
          <w:rFonts w:ascii="Titillium Web" w:hAnsi="Titillium Web" w:cs="Segoe UI"/>
          <w:color w:val="000000"/>
          <w:sz w:val="22"/>
          <w:szCs w:val="22"/>
        </w:rPr>
      </w:pPr>
      <w:r w:rsidRPr="00E2637E">
        <w:rPr>
          <w:rStyle w:val="eop"/>
          <w:rFonts w:ascii="Titillium Web" w:hAnsi="Titillium Web" w:cs="Segoe UI"/>
          <w:color w:val="000000"/>
          <w:sz w:val="22"/>
          <w:szCs w:val="22"/>
        </w:rPr>
        <w:t>The Directors of the Company accept responsibility for the contents of the announcement.</w:t>
      </w:r>
    </w:p>
    <w:p w14:paraId="4F1F7892" w14:textId="7B7D65D3" w:rsidR="00DE5FAB" w:rsidRPr="00E2637E" w:rsidRDefault="00DE5FAB" w:rsidP="006378A1">
      <w:pPr>
        <w:pStyle w:val="paragraph"/>
        <w:jc w:val="both"/>
        <w:rPr>
          <w:rStyle w:val="eop"/>
          <w:rFonts w:ascii="Titillium Web" w:hAnsi="Titillium Web" w:cs="Segoe UI"/>
          <w:color w:val="000000"/>
          <w:sz w:val="22"/>
          <w:szCs w:val="22"/>
        </w:rPr>
      </w:pPr>
      <w:r w:rsidRPr="00DE5FAB">
        <w:rPr>
          <w:rStyle w:val="eop"/>
          <w:rFonts w:ascii="Titillium Web" w:hAnsi="Titillium Web" w:cs="Segoe UI"/>
          <w:color w:val="000000"/>
          <w:sz w:val="22"/>
          <w:szCs w:val="22"/>
        </w:rPr>
        <w:t>This announcement contains information which, prior to its disclosure, was inside information as stipulated under Regulation 11 of the Market Abuse (Amendment) (EU Exit) Regulations 2019/310 (as amended). Upon the publication of this announcement via a Regulatory Information Service, this inside information is now considered to be in the public domain.</w:t>
      </w:r>
    </w:p>
    <w:p w14:paraId="53254BFB" w14:textId="77777777" w:rsidR="003930F7" w:rsidRPr="00E2637E" w:rsidRDefault="003930F7" w:rsidP="003930F7">
      <w:pPr>
        <w:widowControl w:val="0"/>
        <w:jc w:val="both"/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</w:pPr>
      <w:r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 xml:space="preserve">For further information, please 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30F7" w:rsidRPr="00E2637E" w14:paraId="31F43A83" w14:textId="77777777" w:rsidTr="00093D75">
        <w:tc>
          <w:tcPr>
            <w:tcW w:w="4508" w:type="dxa"/>
          </w:tcPr>
          <w:p w14:paraId="58E0BC3E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Substrate AI</w:t>
            </w:r>
          </w:p>
        </w:tc>
        <w:tc>
          <w:tcPr>
            <w:tcW w:w="4508" w:type="dxa"/>
          </w:tcPr>
          <w:p w14:paraId="40A26B1E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</w:p>
        </w:tc>
      </w:tr>
      <w:tr w:rsidR="003930F7" w:rsidRPr="00E2637E" w14:paraId="4D5942B3" w14:textId="77777777" w:rsidTr="00093D75">
        <w:tc>
          <w:tcPr>
            <w:tcW w:w="4508" w:type="dxa"/>
          </w:tcPr>
          <w:p w14:paraId="01757A8D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 xml:space="preserve">Lorenzo </w:t>
            </w:r>
            <w:proofErr w:type="spellStart"/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Serratosa</w:t>
            </w:r>
            <w:proofErr w:type="spellEnd"/>
          </w:p>
          <w:p w14:paraId="12EB273A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Chairman</w:t>
            </w:r>
          </w:p>
        </w:tc>
        <w:tc>
          <w:tcPr>
            <w:tcW w:w="4508" w:type="dxa"/>
          </w:tcPr>
          <w:p w14:paraId="624C91CB" w14:textId="77777777" w:rsidR="003930F7" w:rsidRPr="00E2637E" w:rsidRDefault="00EB6593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hyperlink r:id="rId7" w:history="1">
              <w:r w:rsidR="003930F7" w:rsidRPr="00E2637E">
                <w:rPr>
                  <w:rStyle w:val="eop"/>
                  <w:rFonts w:ascii="Titillium Web" w:eastAsia="Times New Roman" w:hAnsi="Titillium Web" w:cs="Segoe UI"/>
                  <w:color w:val="000000"/>
                  <w:sz w:val="22"/>
                  <w:szCs w:val="22"/>
                </w:rPr>
                <w:t>info@substrate.ai</w:t>
              </w:r>
            </w:hyperlink>
          </w:p>
          <w:p w14:paraId="2E820728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</w:p>
        </w:tc>
      </w:tr>
      <w:tr w:rsidR="003930F7" w:rsidRPr="00E2637E" w14:paraId="6BE2CC1F" w14:textId="77777777" w:rsidTr="00093D75">
        <w:tc>
          <w:tcPr>
            <w:tcW w:w="4508" w:type="dxa"/>
          </w:tcPr>
          <w:p w14:paraId="7928A446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 xml:space="preserve">First Sentinel Corporate Finance </w:t>
            </w:r>
          </w:p>
          <w:p w14:paraId="7460BD91" w14:textId="6B8C9193" w:rsidR="001A476A" w:rsidRPr="00E2637E" w:rsidRDefault="001A476A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Corporate Advisors</w:t>
            </w:r>
          </w:p>
        </w:tc>
        <w:tc>
          <w:tcPr>
            <w:tcW w:w="4508" w:type="dxa"/>
          </w:tcPr>
          <w:p w14:paraId="3E555D23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</w:p>
        </w:tc>
      </w:tr>
      <w:tr w:rsidR="003930F7" w:rsidRPr="00E2637E" w14:paraId="4496B81D" w14:textId="77777777" w:rsidTr="00093D75">
        <w:tc>
          <w:tcPr>
            <w:tcW w:w="4508" w:type="dxa"/>
          </w:tcPr>
          <w:p w14:paraId="76BDBB3E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Brian Stockbridge</w:t>
            </w:r>
          </w:p>
          <w:p w14:paraId="67C52EA2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29AF976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  <w:r w:rsidRPr="00E2637E"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  <w:t>+44 (0) 7858 888 007</w:t>
            </w:r>
          </w:p>
          <w:p w14:paraId="5E60D9F7" w14:textId="77777777" w:rsidR="003930F7" w:rsidRPr="00E2637E" w:rsidRDefault="003930F7" w:rsidP="00093D75">
            <w:pPr>
              <w:widowControl w:val="0"/>
              <w:jc w:val="both"/>
              <w:rPr>
                <w:rStyle w:val="eop"/>
                <w:rFonts w:ascii="Titillium Web" w:eastAsia="Times New Roman" w:hAnsi="Titillium Web" w:cs="Segoe UI"/>
                <w:color w:val="000000"/>
                <w:sz w:val="22"/>
                <w:szCs w:val="22"/>
              </w:rPr>
            </w:pPr>
          </w:p>
        </w:tc>
      </w:tr>
    </w:tbl>
    <w:p w14:paraId="4E2FB933" w14:textId="77777777" w:rsidR="009F4DAE" w:rsidRPr="00E2637E" w:rsidRDefault="009F4DAE">
      <w:pPr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</w:pPr>
    </w:p>
    <w:p w14:paraId="615A1B48" w14:textId="0809962A" w:rsidR="00942928" w:rsidRPr="00E2637E" w:rsidRDefault="00942928" w:rsidP="005B2868">
      <w:pPr>
        <w:jc w:val="both"/>
        <w:rPr>
          <w:rStyle w:val="eop"/>
          <w:color w:val="000000"/>
        </w:rPr>
      </w:pPr>
      <w:r w:rsidRPr="00E2637E">
        <w:rPr>
          <w:rStyle w:val="eop"/>
          <w:rFonts w:ascii="Titillium Web" w:eastAsia="Times New Roman" w:hAnsi="Titillium Web" w:cs="Segoe UI"/>
          <w:b/>
          <w:bCs/>
          <w:color w:val="000000"/>
          <w:kern w:val="0"/>
          <w:sz w:val="22"/>
          <w:szCs w:val="22"/>
          <w:lang w:eastAsia="en-GB"/>
          <w14:ligatures w14:val="none"/>
        </w:rPr>
        <w:t>About Substrate AI</w:t>
      </w:r>
      <w:r w:rsidR="00316823"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 xml:space="preserve">: Substrate AI is an artificial intelligence company based in Spain that creates, </w:t>
      </w:r>
      <w:proofErr w:type="gramStart"/>
      <w:r w:rsidR="00316823"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>buys</w:t>
      </w:r>
      <w:proofErr w:type="gramEnd"/>
      <w:r w:rsidR="00316823"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 xml:space="preserve"> and scales companies around AI in diverse sectors such as fintech, </w:t>
      </w:r>
      <w:proofErr w:type="spellStart"/>
      <w:r w:rsidR="00316823"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>agritech</w:t>
      </w:r>
      <w:proofErr w:type="spellEnd"/>
      <w:r w:rsidR="00316823" w:rsidRPr="00E2637E">
        <w:rPr>
          <w:rStyle w:val="eop"/>
          <w:rFonts w:ascii="Titillium Web" w:eastAsia="Times New Roman" w:hAnsi="Titillium Web" w:cs="Segoe UI"/>
          <w:color w:val="000000"/>
          <w:kern w:val="0"/>
          <w:sz w:val="22"/>
          <w:szCs w:val="22"/>
          <w:lang w:eastAsia="en-GB"/>
          <w14:ligatures w14:val="none"/>
        </w:rPr>
        <w:t>, energy, human resources, or health. All of them sell products and services built on the bio-inspired reinforced learning technology developed and patented by Substrate</w:t>
      </w:r>
      <w:r w:rsidR="00316823" w:rsidRPr="00E2637E">
        <w:rPr>
          <w:rStyle w:val="eop"/>
          <w:color w:val="000000"/>
        </w:rPr>
        <w:t xml:space="preserve"> AI.</w:t>
      </w:r>
    </w:p>
    <w:sectPr w:rsidR="00942928" w:rsidRPr="00E2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8"/>
    <w:rsid w:val="0002238F"/>
    <w:rsid w:val="00022C7F"/>
    <w:rsid w:val="00055B06"/>
    <w:rsid w:val="000762B3"/>
    <w:rsid w:val="000A1002"/>
    <w:rsid w:val="000F3EC8"/>
    <w:rsid w:val="00102CED"/>
    <w:rsid w:val="00137828"/>
    <w:rsid w:val="00147D97"/>
    <w:rsid w:val="00186603"/>
    <w:rsid w:val="001A476A"/>
    <w:rsid w:val="001C23B3"/>
    <w:rsid w:val="001F728C"/>
    <w:rsid w:val="00205E47"/>
    <w:rsid w:val="0021023C"/>
    <w:rsid w:val="0022255D"/>
    <w:rsid w:val="00253079"/>
    <w:rsid w:val="0025403F"/>
    <w:rsid w:val="00255020"/>
    <w:rsid w:val="002B410D"/>
    <w:rsid w:val="002E112F"/>
    <w:rsid w:val="002F307F"/>
    <w:rsid w:val="003019E2"/>
    <w:rsid w:val="00306021"/>
    <w:rsid w:val="003072F1"/>
    <w:rsid w:val="00316823"/>
    <w:rsid w:val="003234E3"/>
    <w:rsid w:val="00325AE1"/>
    <w:rsid w:val="0037457D"/>
    <w:rsid w:val="0037787F"/>
    <w:rsid w:val="003930F7"/>
    <w:rsid w:val="003B0077"/>
    <w:rsid w:val="00412467"/>
    <w:rsid w:val="00412A29"/>
    <w:rsid w:val="00412FAA"/>
    <w:rsid w:val="004167AE"/>
    <w:rsid w:val="00520458"/>
    <w:rsid w:val="00542130"/>
    <w:rsid w:val="005626B0"/>
    <w:rsid w:val="005B2868"/>
    <w:rsid w:val="00607828"/>
    <w:rsid w:val="0061429C"/>
    <w:rsid w:val="006208C9"/>
    <w:rsid w:val="006331A5"/>
    <w:rsid w:val="006378A1"/>
    <w:rsid w:val="00666EC2"/>
    <w:rsid w:val="006B5F48"/>
    <w:rsid w:val="006C5450"/>
    <w:rsid w:val="006D1126"/>
    <w:rsid w:val="0070030E"/>
    <w:rsid w:val="00713AF1"/>
    <w:rsid w:val="00724F7E"/>
    <w:rsid w:val="00733B03"/>
    <w:rsid w:val="00775883"/>
    <w:rsid w:val="0077634E"/>
    <w:rsid w:val="007939D0"/>
    <w:rsid w:val="007A5707"/>
    <w:rsid w:val="007D5CC4"/>
    <w:rsid w:val="007E0FDD"/>
    <w:rsid w:val="007E752B"/>
    <w:rsid w:val="007F1524"/>
    <w:rsid w:val="008020A8"/>
    <w:rsid w:val="008102FF"/>
    <w:rsid w:val="0086102D"/>
    <w:rsid w:val="0087603E"/>
    <w:rsid w:val="00894620"/>
    <w:rsid w:val="0089505C"/>
    <w:rsid w:val="008E0F21"/>
    <w:rsid w:val="008E71E8"/>
    <w:rsid w:val="00924345"/>
    <w:rsid w:val="00935A08"/>
    <w:rsid w:val="00942928"/>
    <w:rsid w:val="00947713"/>
    <w:rsid w:val="0097590E"/>
    <w:rsid w:val="009F4DAE"/>
    <w:rsid w:val="00A463EB"/>
    <w:rsid w:val="00A50E9A"/>
    <w:rsid w:val="00A64A10"/>
    <w:rsid w:val="00A73110"/>
    <w:rsid w:val="00AC05EB"/>
    <w:rsid w:val="00AF651C"/>
    <w:rsid w:val="00B169BC"/>
    <w:rsid w:val="00B61E80"/>
    <w:rsid w:val="00B67C6C"/>
    <w:rsid w:val="00B91192"/>
    <w:rsid w:val="00B93B9B"/>
    <w:rsid w:val="00B9439D"/>
    <w:rsid w:val="00B97E5A"/>
    <w:rsid w:val="00BD5755"/>
    <w:rsid w:val="00C37D9B"/>
    <w:rsid w:val="00C61B72"/>
    <w:rsid w:val="00C632F1"/>
    <w:rsid w:val="00C674FE"/>
    <w:rsid w:val="00C96EAB"/>
    <w:rsid w:val="00CB1D93"/>
    <w:rsid w:val="00D514B3"/>
    <w:rsid w:val="00DA5448"/>
    <w:rsid w:val="00DB1A38"/>
    <w:rsid w:val="00DD1220"/>
    <w:rsid w:val="00DE305C"/>
    <w:rsid w:val="00DE5FAB"/>
    <w:rsid w:val="00DF10CE"/>
    <w:rsid w:val="00DF7433"/>
    <w:rsid w:val="00E118EE"/>
    <w:rsid w:val="00E2637E"/>
    <w:rsid w:val="00E7588D"/>
    <w:rsid w:val="00E778B9"/>
    <w:rsid w:val="00E87947"/>
    <w:rsid w:val="00E90F8E"/>
    <w:rsid w:val="00EB6593"/>
    <w:rsid w:val="00F3194A"/>
    <w:rsid w:val="00F376D8"/>
    <w:rsid w:val="00F46064"/>
    <w:rsid w:val="00F5563F"/>
    <w:rsid w:val="00F7603D"/>
    <w:rsid w:val="00F81D6E"/>
    <w:rsid w:val="00F95805"/>
    <w:rsid w:val="00FB7B7B"/>
    <w:rsid w:val="00FF4E9D"/>
    <w:rsid w:val="04789785"/>
    <w:rsid w:val="072F0DEC"/>
    <w:rsid w:val="3D0E4A2C"/>
    <w:rsid w:val="4E737C90"/>
    <w:rsid w:val="657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4F36"/>
  <w15:chartTrackingRefBased/>
  <w15:docId w15:val="{B8E2491C-FF66-214D-9CAD-379AEF7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76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DefaultParagraphFont"/>
    <w:rsid w:val="00F376D8"/>
  </w:style>
  <w:style w:type="character" w:customStyle="1" w:styleId="normaltextrun">
    <w:name w:val="normaltextrun"/>
    <w:basedOn w:val="DefaultParagraphFont"/>
    <w:rsid w:val="00F376D8"/>
  </w:style>
  <w:style w:type="paragraph" w:styleId="Revision">
    <w:name w:val="Revision"/>
    <w:hidden/>
    <w:uiPriority w:val="99"/>
    <w:semiHidden/>
    <w:rsid w:val="001F728C"/>
  </w:style>
  <w:style w:type="character" w:styleId="Hyperlink">
    <w:name w:val="Hyperlink"/>
    <w:basedOn w:val="DefaultParagraphFont"/>
    <w:uiPriority w:val="99"/>
    <w:semiHidden/>
    <w:unhideWhenUsed/>
    <w:rsid w:val="003930F7"/>
    <w:rPr>
      <w:color w:val="0000FF"/>
      <w:u w:val="single"/>
    </w:rPr>
  </w:style>
  <w:style w:type="table" w:styleId="TableGrid">
    <w:name w:val="Table Grid"/>
    <w:basedOn w:val="TableNormal"/>
    <w:uiPriority w:val="39"/>
    <w:rsid w:val="003930F7"/>
    <w:rPr>
      <w:rFonts w:ascii="Calibri" w:eastAsia="Calibri" w:hAnsi="Calibri" w:cs="Calibri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substrate.a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and_x0020_Time xmlns="9c1a29f6-4ab4-4881-b5da-4b1cecc694cd" xsi:nil="true"/>
    <_ip_UnifiedCompliancePolicyProperties xmlns="http://schemas.microsoft.com/sharepoint/v3" xsi:nil="true"/>
    <lcf76f155ced4ddcb4097134ff3c332f xmlns="9c1a29f6-4ab4-4881-b5da-4b1cecc694cd">
      <Terms xmlns="http://schemas.microsoft.com/office/infopath/2007/PartnerControls"/>
    </lcf76f155ced4ddcb4097134ff3c332f>
    <TaxCatchAll xmlns="91b90817-34a2-43ec-a2b9-251524f99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DF16B164AC40897B1EAA85659224" ma:contentTypeVersion="20" ma:contentTypeDescription="Create a new document." ma:contentTypeScope="" ma:versionID="9d318cbfd5ae744aaf30a0a271d843a9">
  <xsd:schema xmlns:xsd="http://www.w3.org/2001/XMLSchema" xmlns:xs="http://www.w3.org/2001/XMLSchema" xmlns:p="http://schemas.microsoft.com/office/2006/metadata/properties" xmlns:ns1="http://schemas.microsoft.com/sharepoint/v3" xmlns:ns2="9c1a29f6-4ab4-4881-b5da-4b1cecc694cd" xmlns:ns3="5c71759f-a0e4-40a2-8362-0d96b5d18177" xmlns:ns4="91b90817-34a2-43ec-a2b9-251524f995bf" targetNamespace="http://schemas.microsoft.com/office/2006/metadata/properties" ma:root="true" ma:fieldsID="3c93f82314e932ce85b39e0bfec49e93" ns1:_="" ns2:_="" ns3:_="" ns4:_="">
    <xsd:import namespace="http://schemas.microsoft.com/sharepoint/v3"/>
    <xsd:import namespace="9c1a29f6-4ab4-4881-b5da-4b1cecc694cd"/>
    <xsd:import namespace="5c71759f-a0e4-40a2-8362-0d96b5d18177"/>
    <xsd:import namespace="91b90817-34a2-43ec-a2b9-251524f9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_x0020_and_x0020_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29f6-4ab4-4881-b5da-4b1cecc6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0_and_x0020_Time" ma:index="22" nillable="true" ma:displayName="Date and Time" ma:format="DateOnly" ma:internalName="Date_x0020_and_x0020_Tim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1c850a-09bf-4b5a-a2a8-39c1d3dc7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759f-a0e4-40a2-8362-0d96b5d1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0817-34a2-43ec-a2b9-251524f995bf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9a86a5f-244d-4ff6-becd-4b6bca75d8d5}" ma:internalName="TaxCatchAll" ma:showField="CatchAllData" ma:web="91b90817-34a2-43ec-a2b9-251524f99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BC909-FD5C-4FEE-8E5E-E980285D85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1a29f6-4ab4-4881-b5da-4b1cecc694cd"/>
    <ds:schemaRef ds:uri="91b90817-34a2-43ec-a2b9-251524f995bf"/>
  </ds:schemaRefs>
</ds:datastoreItem>
</file>

<file path=customXml/itemProps2.xml><?xml version="1.0" encoding="utf-8"?>
<ds:datastoreItem xmlns:ds="http://schemas.openxmlformats.org/officeDocument/2006/customXml" ds:itemID="{F53CA942-ED10-4F6A-9039-BBDC5A7F9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2FA65-7A13-4833-BA11-35AF27C1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1a29f6-4ab4-4881-b5da-4b1cecc694cd"/>
    <ds:schemaRef ds:uri="5c71759f-a0e4-40a2-8362-0d96b5d18177"/>
    <ds:schemaRef ds:uri="91b90817-34a2-43ec-a2b9-251524f9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Iribarren</dc:creator>
  <cp:keywords/>
  <dc:description/>
  <cp:lastModifiedBy>Beatriz Iribarren</cp:lastModifiedBy>
  <cp:revision>115</cp:revision>
  <dcterms:created xsi:type="dcterms:W3CDTF">2023-11-07T13:51:00Z</dcterms:created>
  <dcterms:modified xsi:type="dcterms:W3CDTF">2024-01-18T10:52:00Z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0x0101000C15DF16B164AC40897B1EAA85659224</vt:lpwstr>
  </property>
  <property fmtid="{D5CDD505-2E9C-101B-9397-08002B2CF9AE}" pid="3" name="MediaServiceImageTags">
    <vt:lpwstr/>
  </property>
</Properties>
</file>